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NICOLA FERRARA – CURRICULUM VITAE SHORT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FORMAZIONE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Laurea in Medicina e Chirurgia 110/110 e lode; Specializzazione in Cardiologia e Specializzazione in Geriatria Fellowship presso il National Heart and Lung Institute, Dept of Cardiac Medicine, London, U.K.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ATTIVITA’ ACCADEMICA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Professore Ordinario di Medicina Interna e Geriatria (MED/09) Università degli Studi di Napoli “Federico II”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Direttore della Scuola di Specializzazione in Geriatria Università degli Studi di Napoli “Federico II”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Coordinatore del Corso di Laurea in Infermieristica Università degli Studi di Napoli “Federico II”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Coordinatore delle Scuole di Specializzazione di Area Sanitaria Università degli Studi di Napoli “Federico II”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Membro del Collegio dei Docenti del Dottorato di Ricerca in Medicina Sperimentale e Clinica dell'Università degli Studi di Napoli "Federico II"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Membro del Consiglio di Disciplina di Ateneo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ATTIVITA’ ASSISTENZIALI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Direttore della UOC di Geriatria e Fibrosi Cistica dell’Adulto e Direttore ff del Dipartimento ad Attività Integrata in Emergenze Cardiovascolari, Medicina Clinica e dell’Invecchiamento – AOU Federico II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ATTIVITA’ SCIENTIFICA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Titolari di numerosi Grant di ricerca su base competitiva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Referee di numerose riviste scientifiche nazionali ed internazionali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Già Presidente della Società Italiana di Gerontologia e Geriatria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Autore in collaborazione di oltre 330 lavori scientifici per extenso prevalentemente pubblicati su riviste di rilievo internazionale. </w:t>
      </w:r>
    </w:p>
    <w:p>
      <w:pPr>
        <w:pStyle w:val="Normal"/>
        <w:spacing w:lineRule="auto" w:line="240" w:before="0" w:after="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Indicatori bibliometrici complessivi: Circa 8000 citazioni, Hirsch Index 50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LibreOffice/6.1.4.2$MacOSX_X86_64 LibreOffice_project/9d0f32d1f0b509096fd65e0d4bec26ddd1938fd3</Application>
  <Pages>1</Pages>
  <Words>206</Words>
  <Characters>1334</Characters>
  <CharactersWithSpaces>1529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2022-02-18T13:55:00Z</dcterms:created>
  <dc:creator>NICOLA FERRARA</dc:creator>
  <dc:description/>
  <dc:language>it-IT</dc:language>
  <cp:lastModifiedBy>NICOLA FERRARA</cp:lastModifiedBy>
  <dcterms:modified xsi:type="dcterms:W3CDTF">2022-02-18T15:04:00Z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