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9.png" ContentType="image/png"/>
  <Override PartName="/word/media/image8.png" ContentType="image/png"/>
  <Override PartName="/word/media/image7.png" ContentType="image/png"/>
  <Override PartName="/word/media/image11.png" ContentType="image/png"/>
  <Override PartName="/word/media/image6.png" ContentType="image/png"/>
  <Override PartName="/word/media/image10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customXml/item3.xml" ContentType="application/xml"/>
  <Override PartName="/customXml/item1.xml" ContentType="application/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2.xml" ContentType="application/xml"/>
  <Override PartName="/customXml/_rels/item3.xml.rels" ContentType="application/vnd.openxmlformats-package.relationships+xml"/>
  <Override PartName="/customXml/_rels/item2.xml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tbl>
      <w:tblPr>
        <w:tblW w:w="1037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000" w:noVBand="0" w:noHBand="0" w:lastColumn="0" w:firstColumn="0" w:lastRow="0" w:firstRow="0"/>
      </w:tblPr>
      <w:tblGrid>
        <w:gridCol w:w="2834"/>
        <w:gridCol w:w="7540"/>
      </w:tblGrid>
      <w:tr>
        <w:trPr>
          <w:trHeight w:val="340" w:hRule="atLeast"/>
          <w:cantSplit w:val="true"/>
        </w:trPr>
        <w:tc>
          <w:tcPr>
            <w:tcW w:w="2834" w:type="dxa"/>
            <w:tcBorders/>
            <w:shd w:fill="auto" w:val="clear"/>
            <w:vAlign w:val="center"/>
          </w:tcPr>
          <w:p>
            <w:pPr>
              <w:pStyle w:val="ECVPersonalInfoHeading"/>
              <w:spacing w:before="57" w:after="0"/>
              <w:rPr>
                <w:b/>
                <w:b/>
                <w:bCs/>
                <w:color w:val="767171" w:themeColor="background2" w:themeShade="80"/>
                <w:lang w:val="en-US"/>
              </w:rPr>
            </w:pPr>
            <w:r>
              <w:rPr>
                <w:b/>
                <w:bCs/>
                <w:caps w:val="false"/>
                <w:smallCaps w:val="false"/>
                <w:color w:val="767171" w:themeColor="background2" w:themeShade="80"/>
                <w:lang w:val="en-US"/>
              </w:rPr>
              <w:t>PERSONAL INFORMATION</w:t>
            </w:r>
          </w:p>
        </w:tc>
        <w:tc>
          <w:tcPr>
            <w:tcW w:w="7540" w:type="dxa"/>
            <w:tcBorders/>
            <w:shd w:fill="auto" w:val="clear"/>
            <w:vAlign w:val="center"/>
          </w:tcPr>
          <w:p>
            <w:pPr>
              <w:pStyle w:val="ECVNameField"/>
              <w:rPr>
                <w:lang w:val="en-US"/>
              </w:rPr>
            </w:pPr>
            <w:r>
              <w:rPr>
                <w:lang w:val="en-US"/>
              </w:rPr>
              <w:t xml:space="preserve">Achille Iolascon </w:t>
            </w:r>
          </w:p>
        </w:tc>
      </w:tr>
      <w:tr>
        <w:trPr>
          <w:trHeight w:val="227" w:hRule="exact"/>
          <w:cantSplit w:val="true"/>
        </w:trPr>
        <w:tc>
          <w:tcPr>
            <w:tcW w:w="10374" w:type="dxa"/>
            <w:gridSpan w:val="2"/>
            <w:tcBorders/>
            <w:shd w:fill="auto" w:val="clear"/>
          </w:tcPr>
          <w:p>
            <w:pPr>
              <w:pStyle w:val="ECVComments"/>
              <w:rPr>
                <w:lang w:val="en-US"/>
              </w:rPr>
            </w:pPr>
            <w:r>
              <w:rPr>
                <w:lang w:val="en-US"/>
              </w:rPr>
            </w:r>
          </w:p>
        </w:tc>
      </w:tr>
      <w:tr>
        <w:trPr>
          <w:trHeight w:val="340" w:hRule="atLeast"/>
          <w:cantSplit w:val="true"/>
        </w:trPr>
        <w:tc>
          <w:tcPr>
            <w:tcW w:w="2834" w:type="dxa"/>
            <w:vMerge w:val="restart"/>
            <w:tcBorders/>
            <w:shd w:fill="auto" w:val="clear"/>
          </w:tcPr>
          <w:p>
            <w:pPr>
              <w:pStyle w:val="ECVLeftHeading"/>
              <w:rPr>
                <w:lang w:val="en-US"/>
              </w:rPr>
            </w:pPr>
            <w:r>
              <w:rPr/>
              <w:drawing>
                <wp:inline distT="0" distB="0" distL="0" distR="8255">
                  <wp:extent cx="773430" cy="1283970"/>
                  <wp:effectExtent l="0" t="0" r="0" b="0"/>
                  <wp:docPr id="1" name="Immagin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7540" w:type="dxa"/>
            <w:tcBorders/>
            <w:shd w:fill="auto" w:val="clear"/>
          </w:tcPr>
          <w:p>
            <w:pPr>
              <w:pStyle w:val="ECVContactDetails1"/>
              <w:rPr>
                <w:lang w:val="en-US"/>
              </w:rPr>
            </w:pPr>
            <w:r>
              <w:drawing>
                <wp:anchor behindDoc="0" distT="0" distB="0" distL="0" distR="71755" simplePos="0" locked="0" layoutInCell="1" allowOverlap="1" relativeHeight="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23825" cy="143510"/>
                  <wp:effectExtent l="0" t="0" r="0" b="0"/>
                  <wp:wrapSquare wrapText="bothSides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University of Naples "Federico II"</w:t>
            </w:r>
          </w:p>
          <w:p>
            <w:pPr>
              <w:pStyle w:val="ECVContactDetails1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Department Molecular Medicine and Medical Biotechnologies</w:t>
            </w:r>
          </w:p>
          <w:p>
            <w:pPr>
              <w:pStyle w:val="ECVContactDetails1"/>
              <w:rPr>
                <w:lang w:val="en-US"/>
              </w:rPr>
            </w:pPr>
            <w:r>
              <w:rPr>
                <w:lang w:val="en-US"/>
              </w:rPr>
              <w:t xml:space="preserve">        </w:t>
            </w:r>
            <w:r>
              <w:rPr>
                <w:lang w:val="en-US"/>
              </w:rPr>
              <w:t xml:space="preserve">CEINGE, biotecnologie avanzate, </w:t>
            </w:r>
          </w:p>
          <w:p>
            <w:pPr>
              <w:pStyle w:val="ECVContactDetails1"/>
              <w:rPr>
                <w:lang w:val="en-US"/>
              </w:rPr>
            </w:pPr>
            <w:r>
              <w:rPr>
                <w:lang w:val="en-US"/>
              </w:rPr>
              <w:t xml:space="preserve">        </w:t>
            </w:r>
            <w:r>
              <w:rPr>
                <w:lang w:val="en-US"/>
              </w:rPr>
              <w:t>Via G. Salvatore, 486, 80145, Naples, Italy</w:t>
            </w:r>
          </w:p>
          <w:p>
            <w:pPr>
              <w:pStyle w:val="ECVContactDetails1"/>
              <w:rPr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ECVContactDetails1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</w:tc>
      </w:tr>
      <w:tr>
        <w:trPr>
          <w:trHeight w:val="340" w:hRule="atLeast"/>
          <w:cantSplit w:val="true"/>
        </w:trPr>
        <w:tc>
          <w:tcPr>
            <w:tcW w:w="2834" w:type="dxa"/>
            <w:vMerge w:val="continue"/>
            <w:tcBorders/>
            <w:shd w:fill="auto" w:val="clear"/>
          </w:tcPr>
          <w:p>
            <w:pPr>
              <w:pStyle w:val="Normal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7540" w:type="dxa"/>
            <w:tcBorders/>
            <w:shd w:fill="auto" w:val="clear"/>
          </w:tcPr>
          <w:p>
            <w:pPr>
              <w:pStyle w:val="ECVContactDetails1"/>
              <w:tabs>
                <w:tab w:val="clear" w:pos="709"/>
                <w:tab w:val="right" w:pos="8218" w:leader="none"/>
              </w:tabs>
              <w:rPr>
                <w:lang w:val="en-US"/>
              </w:rPr>
            </w:pPr>
            <w:r>
              <w:drawing>
                <wp:anchor behindDoc="0" distT="0" distB="0" distL="0" distR="71755" simplePos="0" locked="0" layoutInCell="1" allowOverlap="1" relativeHeight="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25730" cy="128905"/>
                  <wp:effectExtent l="0" t="0" r="0" b="0"/>
                  <wp:wrapSquare wrapText="bothSides"/>
                  <wp:docPr id="3" name="Picture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ECVContactDetails"/>
                <w:lang w:val="en-US"/>
              </w:rPr>
              <w:t xml:space="preserve"> </w:t>
            </w:r>
            <w:r>
              <w:rPr>
                <w:rStyle w:val="ECVContactDetails"/>
                <w:lang w:val="en-US"/>
              </w:rPr>
              <w:t xml:space="preserve">+39 0813737897    </w:t>
            </w:r>
            <w:r>
              <w:rPr/>
              <w:drawing>
                <wp:inline distT="0" distB="0" distL="0" distR="0">
                  <wp:extent cx="127000" cy="127000"/>
                  <wp:effectExtent l="0" t="0" r="0" b="0"/>
                  <wp:docPr id="4" name="Picture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</w:t>
            </w:r>
            <w:r>
              <w:rPr>
                <w:rStyle w:val="ECVContactDetails"/>
                <w:lang w:val="en-US"/>
              </w:rPr>
              <w:t xml:space="preserve">+39 3334080672    </w:t>
            </w:r>
            <w:r>
              <w:rPr>
                <w:lang w:val="en-US"/>
              </w:rPr>
              <w:t xml:space="preserve">   </w:t>
            </w:r>
          </w:p>
        </w:tc>
      </w:tr>
      <w:tr>
        <w:trPr>
          <w:trHeight w:val="340" w:hRule="atLeast"/>
          <w:cantSplit w:val="true"/>
        </w:trPr>
        <w:tc>
          <w:tcPr>
            <w:tcW w:w="2834" w:type="dxa"/>
            <w:vMerge w:val="continue"/>
            <w:tcBorders/>
            <w:shd w:fill="auto" w:val="clear"/>
          </w:tcPr>
          <w:p>
            <w:pPr>
              <w:pStyle w:val="Normal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7540" w:type="dxa"/>
            <w:tcBorders/>
            <w:shd w:fill="auto" w:val="clear"/>
            <w:vAlign w:val="center"/>
          </w:tcPr>
          <w:p>
            <w:pPr>
              <w:pStyle w:val="ECVContactDetails1"/>
              <w:rPr>
                <w:lang w:val="en-US"/>
              </w:rPr>
            </w:pPr>
            <w:r>
              <w:drawing>
                <wp:anchor behindDoc="0" distT="0" distB="0" distL="0" distR="71755" simplePos="0" locked="0" layoutInCell="1" allowOverlap="1" relativeHeight="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26365" cy="144145"/>
                  <wp:effectExtent l="0" t="0" r="0" b="0"/>
                  <wp:wrapSquare wrapText="bothSides"/>
                  <wp:docPr id="5" name="Picture 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/>
              </w:rPr>
              <w:t xml:space="preserve"> </w:t>
            </w:r>
            <w:r>
              <w:rPr>
                <w:rStyle w:val="ECVInternetLink"/>
                <w:lang w:val="en-US"/>
              </w:rPr>
              <w:t>Achille.iolascon@unina.it</w:t>
            </w:r>
          </w:p>
        </w:tc>
      </w:tr>
      <w:tr>
        <w:trPr>
          <w:trHeight w:val="340" w:hRule="atLeast"/>
          <w:cantSplit w:val="true"/>
        </w:trPr>
        <w:tc>
          <w:tcPr>
            <w:tcW w:w="2834" w:type="dxa"/>
            <w:vMerge w:val="continue"/>
            <w:tcBorders/>
            <w:shd w:fill="auto" w:val="clear"/>
          </w:tcPr>
          <w:p>
            <w:pPr>
              <w:pStyle w:val="Normal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7540" w:type="dxa"/>
            <w:tcBorders/>
            <w:shd w:fill="auto" w:val="clear"/>
          </w:tcPr>
          <w:p>
            <w:pPr>
              <w:pStyle w:val="ECVContactDetails1"/>
              <w:rPr>
                <w:lang w:val="en-US"/>
              </w:rPr>
            </w:pPr>
            <w:r>
              <w:rPr>
                <w:rStyle w:val="ECVInternetLink"/>
                <w:u w:val="none"/>
                <w:lang w:val="en-US"/>
              </w:rPr>
              <w:t xml:space="preserve"> </w:t>
              <w:drawing>
                <wp:anchor behindDoc="0" distT="0" distB="0" distL="0" distR="71755" simplePos="0" locked="0" layoutInCell="1" allowOverlap="1" relativeHeight="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25095" cy="127635"/>
                  <wp:effectExtent l="0" t="0" r="0" b="0"/>
                  <wp:wrapSquare wrapText="bothSides"/>
                  <wp:docPr id="6" name="Picture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ECVInternetLink"/>
                <w:lang w:val="en-US"/>
              </w:rPr>
              <w:drawing>
                <wp:anchor behindDoc="0" distT="0" distB="0" distL="0" distR="71755" simplePos="0" locked="0" layoutInCell="1" allowOverlap="1" relativeHeight="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125095" cy="127635"/>
                  <wp:effectExtent l="0" t="0" r="0" b="0"/>
                  <wp:wrapSquare wrapText="bothSides"/>
                  <wp:docPr id="7" name="Immagin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magin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ECVInternetLink"/>
                <w:lang w:val="en-US"/>
              </w:rPr>
              <w:t xml:space="preserve">https://www.docenti.unina.it/achille.iolascon </w:t>
            </w:r>
          </w:p>
        </w:tc>
      </w:tr>
      <w:tr>
        <w:trPr>
          <w:trHeight w:val="397" w:hRule="atLeast"/>
          <w:cantSplit w:val="true"/>
        </w:trPr>
        <w:tc>
          <w:tcPr>
            <w:tcW w:w="2834" w:type="dxa"/>
            <w:vMerge w:val="continue"/>
            <w:tcBorders/>
            <w:shd w:fill="auto" w:val="clear"/>
          </w:tcPr>
          <w:p>
            <w:pPr>
              <w:pStyle w:val="Normal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7540" w:type="dxa"/>
            <w:tcBorders/>
            <w:shd w:fill="auto" w:val="clear"/>
            <w:vAlign w:val="center"/>
          </w:tcPr>
          <w:p>
            <w:pPr>
              <w:pStyle w:val="ECVGenderRow"/>
              <w:spacing w:before="85" w:after="0"/>
              <w:rPr>
                <w:lang w:val="en-US"/>
              </w:rPr>
            </w:pPr>
            <w:r>
              <w:rPr>
                <w:rStyle w:val="ECVHeadingContactDetails"/>
                <w:color w:val="171717" w:themeColor="background2" w:themeShade="1a"/>
                <w:lang w:val="en-US"/>
              </w:rPr>
              <w:t>Sex M</w:t>
            </w:r>
            <w:r>
              <w:rPr>
                <w:lang w:val="en-US"/>
              </w:rPr>
              <w:t xml:space="preserve"> </w:t>
            </w:r>
            <w:r>
              <w:rPr>
                <w:rStyle w:val="ECVHeadingContactDetails"/>
                <w:color w:val="171717" w:themeColor="background2" w:themeShade="1a"/>
                <w:lang w:val="en-US"/>
              </w:rPr>
              <w:t>| Date of birth 29/04/1954</w:t>
            </w:r>
            <w:r>
              <w:rPr>
                <w:lang w:val="en-US"/>
              </w:rPr>
              <w:t xml:space="preserve"> </w:t>
            </w:r>
            <w:r>
              <w:rPr>
                <w:rStyle w:val="ECVHeadingContactDetails"/>
                <w:color w:val="171717" w:themeColor="background2" w:themeShade="1a"/>
                <w:lang w:val="en-US"/>
              </w:rPr>
              <w:t xml:space="preserve">| </w:t>
            </w:r>
            <w:r>
              <w:rPr>
                <w:rStyle w:val="ECVHeadingContactDetails"/>
                <w:i/>
                <w:iCs/>
                <w:color w:val="171717" w:themeColor="background2" w:themeShade="1a"/>
                <w:lang w:val="en-US"/>
              </w:rPr>
              <w:t>Nationality</w:t>
            </w:r>
            <w:r>
              <w:rPr>
                <w:lang w:val="en-US"/>
              </w:rPr>
              <w:t xml:space="preserve"> </w:t>
            </w:r>
            <w:r>
              <w:rPr>
                <w:rStyle w:val="ECVContactDetails"/>
                <w:lang w:val="en-US"/>
              </w:rPr>
              <w:t>Italian</w:t>
            </w:r>
          </w:p>
        </w:tc>
      </w:tr>
    </w:tbl>
    <w:p>
      <w:pPr>
        <w:pStyle w:val="ECVText"/>
        <w:rPr>
          <w:lang w:val="en-US"/>
        </w:rPr>
      </w:pPr>
      <w:r>
        <w:rPr>
          <w:lang w:val="en-US"/>
        </w:rPr>
      </w:r>
    </w:p>
    <w:tbl>
      <w:tblPr>
        <w:tblStyle w:val="Grigliatabella"/>
        <w:tblW w:w="9230" w:type="dxa"/>
        <w:jc w:val="left"/>
        <w:tblInd w:w="1129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976"/>
        <w:gridCol w:w="3119"/>
        <w:gridCol w:w="3135"/>
      </w:tblGrid>
      <w:tr>
        <w:trPr>
          <w:trHeight w:val="149" w:hRule="atLeast"/>
        </w:trPr>
        <w:tc>
          <w:tcPr>
            <w:tcW w:w="2976" w:type="dxa"/>
            <w:tcBorders/>
            <w:shd w:color="auto" w:fill="E7E6E6" w:themeFill="background2" w:val="clear"/>
            <w:vAlign w:val="center"/>
          </w:tcPr>
          <w:p>
            <w:pPr>
              <w:pStyle w:val="ECVText"/>
              <w:rPr>
                <w:b/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Enterprise</w:t>
            </w:r>
          </w:p>
        </w:tc>
        <w:tc>
          <w:tcPr>
            <w:tcW w:w="3119" w:type="dxa"/>
            <w:tcBorders/>
            <w:shd w:color="auto" w:fill="E7E6E6" w:themeFill="background2" w:val="clear"/>
            <w:vAlign w:val="center"/>
          </w:tcPr>
          <w:p>
            <w:pPr>
              <w:pStyle w:val="ECVText"/>
              <w:rPr>
                <w:b/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University</w:t>
            </w:r>
          </w:p>
        </w:tc>
        <w:tc>
          <w:tcPr>
            <w:tcW w:w="3135" w:type="dxa"/>
            <w:tcBorders/>
            <w:shd w:color="auto" w:fill="E7E6E6" w:themeFill="background2" w:val="clear"/>
            <w:vAlign w:val="center"/>
          </w:tcPr>
          <w:p>
            <w:pPr>
              <w:pStyle w:val="ECVText"/>
              <w:rPr>
                <w:b/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EPR</w:t>
            </w:r>
          </w:p>
        </w:tc>
      </w:tr>
      <w:tr>
        <w:trPr/>
        <w:tc>
          <w:tcPr>
            <w:tcW w:w="2976" w:type="dxa"/>
            <w:tcBorders/>
            <w:shd w:fill="auto" w:val="clear"/>
            <w:vAlign w:val="center"/>
          </w:tcPr>
          <w:p>
            <w:pPr>
              <w:pStyle w:val="ECVText"/>
              <w:rPr>
                <w:sz w:val="14"/>
                <w:szCs w:val="22"/>
                <w:lang w:val="en-US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Calibri" w:ascii="MS Gothic" w:hAnsi="MS Gothic" w:cstheme="minorHAnsi"/>
                    <w:color w:val="000000"/>
                    <w:lang w:val="en-US" w:eastAsia="it-IT"/>
                  </w:rPr>
                  <w:t>☐</w:t>
                </w:r>
              </w:sdtContent>
            </w:sdt>
            <w:r>
              <w:rPr>
                <w:sz w:val="14"/>
                <w:szCs w:val="22"/>
                <w:lang w:val="en-US"/>
              </w:rPr>
              <w:t xml:space="preserve"> </w:t>
            </w:r>
            <w:r>
              <w:rPr>
                <w:sz w:val="14"/>
                <w:szCs w:val="22"/>
                <w:lang w:val="en-US"/>
              </w:rPr>
              <w:t>Management Level</w:t>
            </w:r>
          </w:p>
        </w:tc>
        <w:tc>
          <w:tcPr>
            <w:tcW w:w="3119" w:type="dxa"/>
            <w:tcBorders/>
            <w:shd w:fill="auto" w:val="clear"/>
            <w:vAlign w:val="center"/>
          </w:tcPr>
          <w:p>
            <w:pPr>
              <w:pStyle w:val="ECVText"/>
              <w:rPr>
                <w:sz w:val="14"/>
                <w:szCs w:val="22"/>
                <w:lang w:val="en-US"/>
              </w:rPr>
            </w:pPr>
            <w:sdt>
              <w:sdtPr>
                <w14:checkbox>
                  <w14:checked w:val="1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Calibri" w:ascii="MS Gothic" w:hAnsi="MS Gothic" w:cstheme="minorHAnsi"/>
                    <w:color w:val="000000"/>
                    <w:lang w:val="en-US" w:eastAsia="it-IT"/>
                  </w:rPr>
                  <w:t>☒</w:t>
                </w:r>
              </w:sdtContent>
            </w:sdt>
            <w:r>
              <w:rPr>
                <w:sz w:val="14"/>
                <w:szCs w:val="22"/>
                <w:lang w:val="en-US"/>
              </w:rPr>
              <w:t xml:space="preserve"> </w:t>
            </w:r>
            <w:r>
              <w:rPr>
                <w:sz w:val="14"/>
                <w:szCs w:val="22"/>
                <w:lang w:val="en-US"/>
              </w:rPr>
              <w:t>Full professor</w:t>
            </w:r>
          </w:p>
        </w:tc>
        <w:tc>
          <w:tcPr>
            <w:tcW w:w="3135" w:type="dxa"/>
            <w:tcBorders/>
            <w:shd w:fill="auto" w:val="clear"/>
            <w:vAlign w:val="center"/>
          </w:tcPr>
          <w:p>
            <w:pPr>
              <w:pStyle w:val="ECVText"/>
              <w:rPr>
                <w:sz w:val="14"/>
                <w:szCs w:val="22"/>
                <w:lang w:val="en-US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Calibri" w:ascii="MS Gothic" w:hAnsi="MS Gothic" w:cstheme="minorHAnsi"/>
                    <w:color w:val="000000"/>
                    <w:lang w:val="en-US" w:eastAsia="it-IT"/>
                  </w:rPr>
                  <w:t>☐</w:t>
                </w:r>
              </w:sdtContent>
            </w:sdt>
            <w:r>
              <w:rPr>
                <w:sz w:val="14"/>
                <w:szCs w:val="22"/>
                <w:lang w:val="en-US"/>
              </w:rPr>
              <w:t xml:space="preserve"> </w:t>
            </w:r>
            <w:r>
              <w:rPr>
                <w:sz w:val="14"/>
                <w:szCs w:val="22"/>
                <w:lang w:val="en-US"/>
              </w:rPr>
              <w:t>Research Director and 1st level Technologist / First Researcher and 2nd level Technologist / Principal Investigator</w:t>
            </w:r>
          </w:p>
        </w:tc>
      </w:tr>
      <w:tr>
        <w:trPr/>
        <w:tc>
          <w:tcPr>
            <w:tcW w:w="2976" w:type="dxa"/>
            <w:tcBorders/>
            <w:shd w:fill="auto" w:val="clear"/>
            <w:vAlign w:val="center"/>
          </w:tcPr>
          <w:p>
            <w:pPr>
              <w:pStyle w:val="ECVText"/>
              <w:rPr>
                <w:sz w:val="14"/>
                <w:szCs w:val="22"/>
                <w:lang w:val="en-US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Calibri" w:ascii="MS Gothic" w:hAnsi="MS Gothic" w:cstheme="minorHAnsi"/>
                    <w:color w:val="000000"/>
                    <w:lang w:val="en-US" w:eastAsia="it-IT"/>
                  </w:rPr>
                  <w:t>☐</w:t>
                </w:r>
              </w:sdtContent>
            </w:sdt>
            <w:r>
              <w:rPr>
                <w:color w:val="FF0000"/>
                <w:sz w:val="14"/>
                <w:szCs w:val="22"/>
                <w:lang w:val="en-US"/>
              </w:rPr>
              <w:t xml:space="preserve"> </w:t>
            </w:r>
            <w:r>
              <w:rPr>
                <w:color w:val="auto"/>
                <w:sz w:val="14"/>
                <w:szCs w:val="22"/>
                <w:lang w:val="en-US"/>
              </w:rPr>
              <w:t>Mid-Management Level</w:t>
            </w:r>
          </w:p>
        </w:tc>
        <w:tc>
          <w:tcPr>
            <w:tcW w:w="3119" w:type="dxa"/>
            <w:tcBorders/>
            <w:shd w:fill="auto" w:val="clear"/>
            <w:vAlign w:val="center"/>
          </w:tcPr>
          <w:p>
            <w:pPr>
              <w:pStyle w:val="ECVText"/>
              <w:rPr>
                <w:sz w:val="14"/>
                <w:szCs w:val="22"/>
                <w:lang w:val="en-US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Calibri" w:ascii="MS Gothic" w:hAnsi="MS Gothic" w:cstheme="minorHAnsi"/>
                    <w:color w:val="000000"/>
                    <w:lang w:val="en-US" w:eastAsia="it-IT"/>
                  </w:rPr>
                  <w:t>☐</w:t>
                </w:r>
              </w:sdtContent>
            </w:sdt>
            <w:r>
              <w:rPr>
                <w:sz w:val="14"/>
                <w:szCs w:val="22"/>
                <w:lang w:val="en-US"/>
              </w:rPr>
              <w:t xml:space="preserve"> </w:t>
            </w:r>
            <w:r>
              <w:rPr>
                <w:sz w:val="14"/>
                <w:szCs w:val="22"/>
                <w:lang w:val="en-US"/>
              </w:rPr>
              <w:t>Associate Professor</w:t>
            </w:r>
          </w:p>
        </w:tc>
        <w:tc>
          <w:tcPr>
            <w:tcW w:w="3135" w:type="dxa"/>
            <w:tcBorders/>
            <w:shd w:fill="auto" w:val="clear"/>
            <w:vAlign w:val="center"/>
          </w:tcPr>
          <w:p>
            <w:pPr>
              <w:pStyle w:val="ECVText"/>
              <w:rPr>
                <w:sz w:val="14"/>
                <w:szCs w:val="22"/>
                <w:lang w:val="en-US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Calibri" w:ascii="MS Gothic" w:hAnsi="MS Gothic" w:cstheme="minorHAnsi"/>
                    <w:color w:val="000000"/>
                    <w:lang w:val="en-US" w:eastAsia="it-IT"/>
                  </w:rPr>
                  <w:t>☐</w:t>
                </w:r>
              </w:sdtContent>
            </w:sdt>
            <w:r>
              <w:rPr>
                <w:sz w:val="14"/>
                <w:szCs w:val="22"/>
                <w:lang w:val="en-US"/>
              </w:rPr>
              <w:t xml:space="preserve"> </w:t>
            </w:r>
            <w:r>
              <w:rPr>
                <w:sz w:val="14"/>
                <w:szCs w:val="22"/>
                <w:lang w:val="en-US"/>
              </w:rPr>
              <w:t>Level III Researcher and Technologist</w:t>
            </w:r>
          </w:p>
        </w:tc>
      </w:tr>
      <w:tr>
        <w:trPr/>
        <w:tc>
          <w:tcPr>
            <w:tcW w:w="2976" w:type="dxa"/>
            <w:tcBorders/>
            <w:shd w:fill="auto" w:val="clear"/>
            <w:vAlign w:val="center"/>
          </w:tcPr>
          <w:p>
            <w:pPr>
              <w:pStyle w:val="ECVText"/>
              <w:rPr>
                <w:sz w:val="14"/>
                <w:szCs w:val="22"/>
                <w:lang w:val="en-US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Calibri" w:ascii="MS Gothic" w:hAnsi="MS Gothic" w:cstheme="minorHAnsi"/>
                    <w:color w:val="000000"/>
                    <w:lang w:val="en-US" w:eastAsia="it-IT"/>
                  </w:rPr>
                  <w:t>☐</w:t>
                </w:r>
              </w:sdtContent>
            </w:sdt>
            <w:r>
              <w:rPr>
                <w:sz w:val="14"/>
                <w:szCs w:val="22"/>
                <w:lang w:val="en-US"/>
              </w:rPr>
              <w:t xml:space="preserve"> </w:t>
            </w:r>
            <w:r>
              <w:rPr>
                <w:sz w:val="14"/>
                <w:szCs w:val="22"/>
                <w:lang w:val="en-US"/>
              </w:rPr>
              <w:t>Employee / worker level</w:t>
            </w:r>
          </w:p>
        </w:tc>
        <w:tc>
          <w:tcPr>
            <w:tcW w:w="3119" w:type="dxa"/>
            <w:tcBorders/>
            <w:shd w:fill="auto" w:val="clear"/>
            <w:vAlign w:val="center"/>
          </w:tcPr>
          <w:p>
            <w:pPr>
              <w:pStyle w:val="ECVText"/>
              <w:rPr>
                <w:sz w:val="14"/>
                <w:szCs w:val="22"/>
                <w:lang w:val="en-US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Calibri" w:ascii="MS Gothic" w:hAnsi="MS Gothic" w:cstheme="minorHAnsi"/>
                    <w:color w:val="000000"/>
                    <w:lang w:val="en-US" w:eastAsia="it-IT"/>
                  </w:rPr>
                  <w:t>☐</w:t>
                </w:r>
              </w:sdtContent>
            </w:sdt>
            <w:r>
              <w:rPr>
                <w:sz w:val="14"/>
                <w:szCs w:val="22"/>
                <w:lang w:val="en-US"/>
              </w:rPr>
              <w:t xml:space="preserve"> </w:t>
            </w:r>
            <w:r>
              <w:rPr>
                <w:sz w:val="14"/>
                <w:szCs w:val="22"/>
                <w:lang w:val="en-US"/>
              </w:rPr>
              <w:t>Researcher and Technologist of IV, V, VI and VII     level / Technical collaborator</w:t>
            </w:r>
          </w:p>
        </w:tc>
        <w:tc>
          <w:tcPr>
            <w:tcW w:w="3135" w:type="dxa"/>
            <w:tcBorders/>
            <w:shd w:fill="auto" w:val="clear"/>
            <w:vAlign w:val="center"/>
          </w:tcPr>
          <w:p>
            <w:pPr>
              <w:pStyle w:val="ECVText"/>
              <w:rPr>
                <w:sz w:val="14"/>
                <w:szCs w:val="22"/>
                <w:lang w:val="en-US"/>
              </w:rPr>
            </w:pPr>
            <w:sdt>
              <w:sdtPr>
                <w14:checkbox>
                  <w14:checked w:val="0"/>
                  <w14:checkedState w:val="2612"/>
                  <w14:uncheckedState w:val="2610"/>
                </w14:checkbox>
              </w:sdtPr>
              <w:sdtContent>
                <w:r>
                  <w:rPr>
                    <w:rFonts w:eastAsia="MS Gothic" w:cs="Calibri" w:ascii="MS Gothic" w:hAnsi="MS Gothic" w:cstheme="minorHAnsi"/>
                    <w:color w:val="000000"/>
                    <w:lang w:val="en-US" w:eastAsia="it-IT"/>
                  </w:rPr>
                  <w:t>☐</w:t>
                </w:r>
              </w:sdtContent>
            </w:sdt>
            <w:r>
              <w:rPr>
                <w:sz w:val="14"/>
                <w:szCs w:val="22"/>
                <w:lang w:val="en-US"/>
              </w:rPr>
              <w:t xml:space="preserve"> </w:t>
            </w:r>
            <w:r>
              <w:rPr>
                <w:sz w:val="14"/>
                <w:szCs w:val="22"/>
                <w:lang w:val="en-US"/>
              </w:rPr>
              <w:t>Researcher and Technologist of IV, V, VI and VII level / Technical collaborator</w:t>
            </w:r>
          </w:p>
        </w:tc>
      </w:tr>
    </w:tbl>
    <w:p>
      <w:pPr>
        <w:pStyle w:val="ECVText"/>
        <w:rPr>
          <w:lang w:val="en-US"/>
        </w:rPr>
      </w:pPr>
      <w:r>
        <w:rPr>
          <w:lang w:val="en-US"/>
        </w:rPr>
      </w:r>
    </w:p>
    <w:tbl>
      <w:tblPr>
        <w:tblW w:w="1037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000" w:noVBand="0" w:noHBand="0" w:lastColumn="0" w:firstColumn="0" w:lastRow="0" w:firstRow="0"/>
      </w:tblPr>
      <w:tblGrid>
        <w:gridCol w:w="2835"/>
        <w:gridCol w:w="7539"/>
      </w:tblGrid>
      <w:tr>
        <w:trPr>
          <w:trHeight w:val="170" w:hRule="atLeast"/>
        </w:trPr>
        <w:tc>
          <w:tcPr>
            <w:tcW w:w="2835" w:type="dxa"/>
            <w:tcBorders/>
            <w:shd w:fill="auto" w:val="clear"/>
          </w:tcPr>
          <w:p>
            <w:pPr>
              <w:pStyle w:val="ECVLeftHeading"/>
              <w:rPr>
                <w:b/>
                <w:b/>
                <w:bCs/>
                <w:color w:val="767171" w:themeColor="background2" w:themeShade="80"/>
                <w:lang w:val="en-US"/>
              </w:rPr>
            </w:pPr>
            <w:r>
              <w:rPr>
                <w:b/>
                <w:bCs/>
                <w:caps w:val="false"/>
                <w:smallCaps w:val="false"/>
                <w:color w:val="767171" w:themeColor="background2" w:themeShade="80"/>
                <w:lang w:val="en-US"/>
              </w:rPr>
              <w:t>WORK EXPERIENCE</w:t>
            </w:r>
          </w:p>
        </w:tc>
        <w:tc>
          <w:tcPr>
            <w:tcW w:w="7539" w:type="dxa"/>
            <w:tcBorders/>
            <w:shd w:fill="auto" w:val="clear"/>
            <w:vAlign w:val="bottom"/>
          </w:tcPr>
          <w:p>
            <w:pPr>
              <w:pStyle w:val="ECVBlueBox"/>
              <w:rPr>
                <w:color w:val="767171" w:themeColor="background2" w:themeShade="80"/>
                <w:lang w:val="en-US"/>
              </w:rPr>
            </w:pPr>
            <w:r>
              <w:rPr/>
              <w:drawing>
                <wp:inline distT="0" distB="0" distL="0" distR="0">
                  <wp:extent cx="4786630" cy="87630"/>
                  <wp:effectExtent l="0" t="0" r="0" b="0"/>
                  <wp:docPr id="8" name="Immagin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magin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630" cy="8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767171" w:themeColor="background2" w:themeShade="80"/>
                <w:lang w:val="en-US"/>
              </w:rPr>
              <w:t xml:space="preserve"> </w:t>
            </w:r>
          </w:p>
        </w:tc>
      </w:tr>
    </w:tbl>
    <w:p>
      <w:pPr>
        <w:pStyle w:val="ECVComments"/>
        <w:rPr>
          <w:lang w:val="en-US"/>
        </w:rPr>
      </w:pPr>
      <w:r>
        <w:rPr>
          <w:lang w:val="en-US"/>
        </w:rPr>
      </w:r>
    </w:p>
    <w:tbl>
      <w:tblPr>
        <w:tblpPr w:bottomFromText="170" w:horzAnchor="text" w:leftFromText="0" w:rightFromText="0" w:tblpX="0" w:tblpY="6" w:topFromText="6" w:vertAnchor="text"/>
        <w:tblW w:w="1037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000" w:noVBand="0" w:noHBand="0" w:lastColumn="0" w:firstColumn="0" w:lastRow="0" w:firstRow="0"/>
      </w:tblPr>
      <w:tblGrid>
        <w:gridCol w:w="2880"/>
        <w:gridCol w:w="7494"/>
      </w:tblGrid>
      <w:tr>
        <w:trPr>
          <w:cantSplit w:val="true"/>
        </w:trPr>
        <w:tc>
          <w:tcPr>
            <w:tcW w:w="2880" w:type="dxa"/>
            <w:vMerge w:val="restart"/>
            <w:tcBorders/>
            <w:shd w:fill="auto" w:val="clear"/>
          </w:tcPr>
          <w:p>
            <w:pPr>
              <w:pStyle w:val="ECVDate"/>
              <w:spacing w:lineRule="atLeast" w:line="100" w:before="28" w:after="0"/>
              <w:textAlignment w:val="top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  <w:t xml:space="preserve"> </w:t>
            </w:r>
            <w:r>
              <w:rPr>
                <w:color w:val="767171" w:themeColor="background2" w:themeShade="80"/>
                <w:lang w:val="en-US"/>
              </w:rPr>
              <w:t>(from 2005 - to present)</w:t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sz w:val="6"/>
                <w:szCs w:val="12"/>
                <w:lang w:val="en-US"/>
              </w:rPr>
            </w:pPr>
            <w:r>
              <w:rPr>
                <w:color w:val="767171" w:themeColor="background2" w:themeShade="80"/>
                <w:sz w:val="6"/>
                <w:szCs w:val="12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  <w:t>(from 2005- to present)</w:t>
            </w:r>
          </w:p>
          <w:p>
            <w:pPr>
              <w:pStyle w:val="ECVDate"/>
              <w:rPr>
                <w:color w:val="767171" w:themeColor="background2" w:themeShade="80"/>
                <w:sz w:val="16"/>
                <w:szCs w:val="22"/>
                <w:lang w:val="en-US"/>
              </w:rPr>
            </w:pPr>
            <w:r>
              <w:rPr>
                <w:color w:val="767171" w:themeColor="background2" w:themeShade="80"/>
                <w:sz w:val="16"/>
                <w:szCs w:val="22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sz w:val="12"/>
                <w:szCs w:val="18"/>
                <w:lang w:val="en-US"/>
              </w:rPr>
            </w:pPr>
            <w:r>
              <w:rPr>
                <w:color w:val="767171" w:themeColor="background2" w:themeShade="80"/>
                <w:sz w:val="12"/>
                <w:szCs w:val="18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  <w:t>(from 2004 - to present)</w:t>
            </w:r>
          </w:p>
          <w:p>
            <w:pPr>
              <w:pStyle w:val="ECVDate"/>
              <w:rPr>
                <w:color w:val="767171" w:themeColor="background2" w:themeShade="80"/>
                <w:sz w:val="16"/>
                <w:szCs w:val="22"/>
                <w:lang w:val="en-US"/>
              </w:rPr>
            </w:pPr>
            <w:r>
              <w:rPr>
                <w:color w:val="767171" w:themeColor="background2" w:themeShade="80"/>
                <w:sz w:val="16"/>
                <w:szCs w:val="22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sz w:val="10"/>
                <w:szCs w:val="16"/>
                <w:lang w:val="en-US"/>
              </w:rPr>
            </w:pPr>
            <w:r>
              <w:rPr>
                <w:color w:val="767171" w:themeColor="background2" w:themeShade="80"/>
                <w:sz w:val="10"/>
                <w:szCs w:val="16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  <w:t>(from 2004 - to present)</w:t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sz w:val="6"/>
                <w:szCs w:val="12"/>
                <w:lang w:val="en-US"/>
              </w:rPr>
            </w:pPr>
            <w:r>
              <w:rPr>
                <w:color w:val="767171" w:themeColor="background2" w:themeShade="80"/>
                <w:sz w:val="6"/>
                <w:szCs w:val="12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  <w:t>(from 2000 - to 2003)</w:t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sz w:val="8"/>
                <w:szCs w:val="14"/>
                <w:lang w:val="en-US"/>
              </w:rPr>
            </w:pPr>
            <w:r>
              <w:rPr>
                <w:color w:val="767171" w:themeColor="background2" w:themeShade="80"/>
                <w:sz w:val="8"/>
                <w:szCs w:val="14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  <w:t>(from 1994 - to 1999)</w:t>
            </w:r>
          </w:p>
        </w:tc>
        <w:tc>
          <w:tcPr>
            <w:tcW w:w="7494" w:type="dxa"/>
            <w:tcBorders/>
            <w:shd w:fill="auto" w:val="clear"/>
          </w:tcPr>
          <w:p>
            <w:pPr>
              <w:pStyle w:val="ECVSubSectionHeading"/>
              <w:rPr>
                <w:b/>
                <w:b/>
                <w:bCs/>
                <w:color w:val="3B3838" w:themeColor="background2" w:themeShade="40"/>
                <w:lang w:val="en-US"/>
              </w:rPr>
            </w:pPr>
            <w:r>
              <w:rPr>
                <w:b/>
                <w:bCs/>
                <w:color w:val="3B3838" w:themeColor="background2" w:themeShade="40"/>
                <w:lang w:val="en-US"/>
              </w:rPr>
              <w:t>Director of the residency school of Medical Genetics</w:t>
            </w:r>
          </w:p>
        </w:tc>
      </w:tr>
      <w:tr>
        <w:trPr>
          <w:cantSplit w:val="true"/>
        </w:trPr>
        <w:tc>
          <w:tcPr>
            <w:tcW w:w="2880" w:type="dxa"/>
            <w:vMerge w:val="continue"/>
            <w:tcBorders/>
            <w:shd w:fill="auto" w:val="clear"/>
          </w:tcPr>
          <w:p>
            <w:pPr>
              <w:pStyle w:val="Normal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7494" w:type="dxa"/>
            <w:tcBorders/>
            <w:shd w:fill="auto" w:val="clear"/>
          </w:tcPr>
          <w:p>
            <w:pPr>
              <w:pStyle w:val="ECVOrganisationDetails"/>
              <w:spacing w:lineRule="atLeast" w:line="100" w:before="57" w:after="85"/>
              <w:rPr>
                <w:lang w:val="en-US"/>
              </w:rPr>
            </w:pPr>
            <w:r>
              <w:rPr>
                <w:lang w:val="en-US"/>
              </w:rPr>
              <w:t xml:space="preserve">Department of Molecular Medicine and Medical Biotechnologies/University of Naples Federico II/Italy </w:t>
            </w:r>
          </w:p>
          <w:p>
            <w:pPr>
              <w:pStyle w:val="ECVSubSectionHeading"/>
              <w:rPr>
                <w:b/>
                <w:b/>
                <w:bCs/>
                <w:color w:val="3B3838" w:themeColor="background2" w:themeShade="40"/>
                <w:lang w:val="en-US"/>
              </w:rPr>
            </w:pPr>
            <w:r>
              <w:rPr>
                <w:b/>
                <w:bCs/>
                <w:color w:val="3B3838" w:themeColor="background2" w:themeShade="40"/>
                <w:lang w:val="en-US"/>
              </w:rPr>
              <w:t>Full Professor of Medical Genetics</w:t>
            </w:r>
          </w:p>
          <w:p>
            <w:pPr>
              <w:pStyle w:val="ECVOrganisationDetails"/>
              <w:rPr>
                <w:lang w:val="en-US"/>
              </w:rPr>
            </w:pPr>
            <w:r>
              <w:rPr>
                <w:lang w:val="en-US"/>
              </w:rPr>
              <w:t>Department of Molecular Medicine and Medical Biotechnologies/University of Naples Federico II/Italy</w:t>
            </w:r>
          </w:p>
          <w:p>
            <w:pPr>
              <w:pStyle w:val="ECVSubSectionHeading"/>
              <w:rPr>
                <w:b/>
                <w:b/>
                <w:bCs/>
                <w:color w:val="3B3838" w:themeColor="background2" w:themeShade="40"/>
                <w:lang w:val="en-US"/>
              </w:rPr>
            </w:pPr>
            <w:r>
              <w:rPr>
                <w:b/>
                <w:bCs/>
                <w:color w:val="3B3838" w:themeColor="background2" w:themeShade="40"/>
                <w:lang w:val="en-US"/>
              </w:rPr>
              <w:t>Principal Investigator and Head of Laboratory Medical Genetics Unit</w:t>
            </w:r>
          </w:p>
          <w:p>
            <w:pPr>
              <w:pStyle w:val="ECVOrganisationDetails"/>
              <w:rPr>
                <w:lang w:val="en-US"/>
              </w:rPr>
            </w:pPr>
            <w:r>
              <w:rPr>
                <w:lang w:val="en-US"/>
              </w:rPr>
              <w:t>CEINGE Biotecnologie Avanzate/Naples/Italy</w:t>
            </w:r>
          </w:p>
          <w:p>
            <w:pPr>
              <w:pStyle w:val="ECVSubSectionHeading"/>
              <w:rPr>
                <w:b/>
                <w:b/>
                <w:bCs/>
                <w:color w:val="3B3838" w:themeColor="background2" w:themeShade="40"/>
                <w:lang w:val="en-US"/>
              </w:rPr>
            </w:pPr>
            <w:r>
              <w:rPr>
                <w:b/>
                <w:bCs/>
                <w:color w:val="3B3838" w:themeColor="background2" w:themeShade="40"/>
                <w:lang w:val="en-US"/>
              </w:rPr>
              <w:t>Director of Clinical Medical Genetics Unit</w:t>
            </w:r>
          </w:p>
          <w:p>
            <w:pPr>
              <w:pStyle w:val="ECVOrganisationDetails"/>
              <w:rPr>
                <w:lang w:val="en-US"/>
              </w:rPr>
            </w:pPr>
            <w:r>
              <w:rPr>
                <w:lang w:val="en-US"/>
              </w:rPr>
              <w:t>UOC Genetica Medica, AOU Federico II/Naples/Italy</w:t>
            </w:r>
          </w:p>
          <w:p>
            <w:pPr>
              <w:pStyle w:val="ECVSubSectionHeading"/>
              <w:rPr>
                <w:b/>
                <w:b/>
                <w:bCs/>
                <w:color w:val="3B3838" w:themeColor="background2" w:themeShade="40"/>
                <w:lang w:val="en-US"/>
              </w:rPr>
            </w:pPr>
            <w:r>
              <w:rPr>
                <w:b/>
                <w:bCs/>
                <w:color w:val="3B3838" w:themeColor="background2" w:themeShade="40"/>
                <w:lang w:val="en-US"/>
              </w:rPr>
              <w:t>Professor of Pediatrics and Director of Dept of Pediatrics</w:t>
            </w:r>
          </w:p>
          <w:p>
            <w:pPr>
              <w:pStyle w:val="ECVOrganisationDetails"/>
              <w:rPr>
                <w:lang w:val="en-US"/>
              </w:rPr>
            </w:pPr>
            <w:r>
              <w:rPr>
                <w:lang w:val="en-US"/>
              </w:rPr>
              <w:t>Department of Pediatrics/University of Foggia/Italy</w:t>
            </w:r>
          </w:p>
          <w:p>
            <w:pPr>
              <w:pStyle w:val="ECVSubSectionHeading"/>
              <w:rPr>
                <w:b/>
                <w:b/>
                <w:bCs/>
                <w:color w:val="3B3838" w:themeColor="background2" w:themeShade="40"/>
                <w:lang w:val="en-US"/>
              </w:rPr>
            </w:pPr>
            <w:r>
              <w:rPr>
                <w:b/>
                <w:bCs/>
                <w:color w:val="3B3838" w:themeColor="background2" w:themeShade="40"/>
                <w:lang w:val="en-US"/>
              </w:rPr>
              <w:t>Associate Professor of Pediatrics</w:t>
            </w:r>
          </w:p>
          <w:p>
            <w:pPr>
              <w:pStyle w:val="ECVOrganisationDetails"/>
              <w:spacing w:lineRule="atLeast" w:line="100" w:before="57" w:after="85"/>
              <w:rPr>
                <w:lang w:val="en-US"/>
              </w:rPr>
            </w:pPr>
            <w:r>
              <w:rPr>
                <w:lang w:val="en-US"/>
              </w:rPr>
              <w:t>Department of Pediatrics/University of Naples/Italy</w:t>
            </w:r>
          </w:p>
        </w:tc>
      </w:tr>
      <w:tr>
        <w:trPr>
          <w:cantSplit w:val="true"/>
        </w:trPr>
        <w:tc>
          <w:tcPr>
            <w:tcW w:w="2880" w:type="dxa"/>
            <w:vMerge w:val="continue"/>
            <w:tcBorders/>
            <w:shd w:fill="auto" w:val="clear"/>
          </w:tcPr>
          <w:p>
            <w:pPr>
              <w:pStyle w:val="Normal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7494" w:type="dxa"/>
            <w:tcBorders/>
            <w:shd w:fill="auto" w:val="clear"/>
          </w:tcPr>
          <w:p>
            <w:pPr>
              <w:pStyle w:val="ECVSectionBullet"/>
              <w:numPr>
                <w:ilvl w:val="0"/>
                <w:numId w:val="2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Study of clinical and molecular genetics of rare hereditary disorders/hereditary anemias/ neuroblastoma.</w:t>
            </w:r>
          </w:p>
          <w:p>
            <w:pPr>
              <w:pStyle w:val="ECVSectionBullet"/>
              <w:numPr>
                <w:ilvl w:val="0"/>
                <w:numId w:val="2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>
              <w:rPr>
                <w:lang w:val="en-US"/>
              </w:rPr>
              <w:t>Skills: Clinical genetics, Molecular genetics, cancer genetics, NGS analysis; genome editing; clinical trials, pre-clinical drug studies; drug discovery; biomarkers discovery; RNA drug development.</w:t>
            </w:r>
          </w:p>
          <w:p>
            <w:pPr>
              <w:pStyle w:val="ECVSectionBullet"/>
              <w:numPr>
                <w:ilvl w:val="0"/>
                <w:numId w:val="2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Teaching activities: Full professor – Medical Genetics/School of Medicine/Residency School of Medical Genetics University Federico II, Napoli/Italy.</w:t>
            </w:r>
          </w:p>
          <w:p>
            <w:pPr>
              <w:pStyle w:val="ECVSectionBullet"/>
              <w:numPr>
                <w:ilvl w:val="0"/>
                <w:numId w:val="2"/>
              </w:numPr>
              <w:jc w:val="both"/>
              <w:rPr>
                <w:lang w:val="en-US"/>
              </w:rPr>
            </w:pPr>
            <w:r>
              <w:rPr>
                <w:lang w:val="en-US"/>
              </w:rPr>
              <w:t>Group leader: 3 RTDB, 2 Medical Geneticists, 1 PhD student, 14 post graduate students in Medical Genetics (physicians and biologists), 2 technicians.</w:t>
            </w:r>
          </w:p>
        </w:tc>
      </w:tr>
    </w:tbl>
    <w:tbl>
      <w:tblPr>
        <w:tblW w:w="1037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000" w:noVBand="0" w:noHBand="0" w:lastColumn="0" w:firstColumn="0" w:lastRow="0" w:firstRow="0"/>
      </w:tblPr>
      <w:tblGrid>
        <w:gridCol w:w="2835"/>
        <w:gridCol w:w="7539"/>
      </w:tblGrid>
      <w:tr>
        <w:trPr>
          <w:trHeight w:val="170" w:hRule="atLeast"/>
        </w:trPr>
        <w:tc>
          <w:tcPr>
            <w:tcW w:w="2835" w:type="dxa"/>
            <w:tcBorders/>
            <w:shd w:fill="auto" w:val="clear"/>
          </w:tcPr>
          <w:p>
            <w:pPr>
              <w:pStyle w:val="ECVLeftHeading"/>
              <w:rPr>
                <w:b/>
                <w:b/>
                <w:bCs/>
                <w:color w:val="767171" w:themeColor="background2" w:themeShade="80"/>
                <w:lang w:val="en-US"/>
              </w:rPr>
            </w:pPr>
            <w:r>
              <w:rPr>
                <w:b/>
                <w:bCs/>
                <w:caps w:val="false"/>
                <w:smallCaps w:val="false"/>
                <w:color w:val="767171" w:themeColor="background2" w:themeShade="80"/>
                <w:lang w:val="en-US"/>
              </w:rPr>
              <w:t>EDUCATION AND TRAINING</w:t>
            </w:r>
          </w:p>
        </w:tc>
        <w:tc>
          <w:tcPr>
            <w:tcW w:w="7539" w:type="dxa"/>
            <w:tcBorders/>
            <w:shd w:fill="auto" w:val="clear"/>
            <w:vAlign w:val="bottom"/>
          </w:tcPr>
          <w:p>
            <w:pPr>
              <w:pStyle w:val="ECVBlueBox"/>
              <w:rPr>
                <w:lang w:val="en-US"/>
              </w:rPr>
            </w:pPr>
            <w:r>
              <w:rPr/>
              <w:drawing>
                <wp:inline distT="0" distB="0" distL="0" distR="0">
                  <wp:extent cx="4786630" cy="87630"/>
                  <wp:effectExtent l="0" t="0" r="0" b="0"/>
                  <wp:docPr id="9" name="Picture 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630" cy="8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</w:t>
            </w:r>
          </w:p>
        </w:tc>
      </w:tr>
    </w:tbl>
    <w:p>
      <w:pPr>
        <w:pStyle w:val="ECVComments"/>
        <w:rPr>
          <w:lang w:val="en-US"/>
        </w:rPr>
      </w:pPr>
      <w:r>
        <w:rPr>
          <w:lang w:val="en-US"/>
        </w:rPr>
      </w:r>
    </w:p>
    <w:tbl>
      <w:tblPr>
        <w:tblpPr w:bottomFromText="170" w:horzAnchor="text" w:leftFromText="0" w:rightFromText="0" w:tblpX="0" w:tblpY="6" w:topFromText="6" w:vertAnchor="text"/>
        <w:tblW w:w="10376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000" w:noVBand="0" w:noHBand="0" w:lastColumn="0" w:firstColumn="0" w:lastRow="0" w:firstRow="0"/>
      </w:tblPr>
      <w:tblGrid>
        <w:gridCol w:w="2880"/>
        <w:gridCol w:w="6191"/>
        <w:gridCol w:w="1305"/>
      </w:tblGrid>
      <w:tr>
        <w:trPr>
          <w:cantSplit w:val="true"/>
        </w:trPr>
        <w:tc>
          <w:tcPr>
            <w:tcW w:w="2880" w:type="dxa"/>
            <w:vMerge w:val="restart"/>
            <w:tcBorders/>
            <w:shd w:fill="auto" w:val="clear"/>
          </w:tcPr>
          <w:p>
            <w:pPr>
              <w:pStyle w:val="ECVDate"/>
              <w:spacing w:lineRule="atLeast" w:line="100" w:before="28" w:after="0"/>
              <w:textAlignment w:val="top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  <w:t>(1986)</w:t>
            </w:r>
          </w:p>
          <w:p>
            <w:pPr>
              <w:pStyle w:val="ECVDate"/>
              <w:rPr>
                <w:color w:val="767171" w:themeColor="background2" w:themeShade="80"/>
                <w:sz w:val="28"/>
                <w:szCs w:val="40"/>
                <w:lang w:val="en-US"/>
              </w:rPr>
            </w:pPr>
            <w:r>
              <w:rPr>
                <w:color w:val="767171" w:themeColor="background2" w:themeShade="80"/>
                <w:sz w:val="28"/>
                <w:szCs w:val="40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  <w:t>(from 1982- to 1985)</w:t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sz w:val="6"/>
                <w:szCs w:val="12"/>
                <w:lang w:val="en-US"/>
              </w:rPr>
            </w:pPr>
            <w:r>
              <w:rPr>
                <w:color w:val="767171" w:themeColor="background2" w:themeShade="80"/>
                <w:sz w:val="6"/>
                <w:szCs w:val="12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  <w:t>(from 1978- to 1981)</w:t>
            </w:r>
          </w:p>
          <w:p>
            <w:pPr>
              <w:pStyle w:val="ECVDate"/>
              <w:rPr>
                <w:color w:val="767171" w:themeColor="background2" w:themeShade="80"/>
                <w:sz w:val="22"/>
                <w:szCs w:val="32"/>
                <w:lang w:val="en-US"/>
              </w:rPr>
            </w:pPr>
            <w:r>
              <w:rPr>
                <w:color w:val="767171" w:themeColor="background2" w:themeShade="80"/>
                <w:sz w:val="22"/>
                <w:szCs w:val="32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  <w:t>(from 1972- to 1978)</w:t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</w:r>
          </w:p>
          <w:p>
            <w:pPr>
              <w:pStyle w:val="ECVDate"/>
              <w:rPr>
                <w:color w:val="767171" w:themeColor="background2" w:themeShade="80"/>
                <w:lang w:val="en-US"/>
              </w:rPr>
            </w:pPr>
            <w:r>
              <w:rPr>
                <w:color w:val="767171" w:themeColor="background2" w:themeShade="80"/>
                <w:lang w:val="en-US"/>
              </w:rPr>
            </w:r>
          </w:p>
        </w:tc>
        <w:tc>
          <w:tcPr>
            <w:tcW w:w="6191" w:type="dxa"/>
            <w:tcBorders/>
            <w:shd w:fill="auto" w:val="clear"/>
          </w:tcPr>
          <w:p>
            <w:pPr>
              <w:pStyle w:val="ECVSubSectionHeading"/>
              <w:rPr>
                <w:lang w:val="en-US"/>
              </w:rPr>
            </w:pPr>
            <w:r>
              <w:rPr>
                <w:color w:val="3B3838" w:themeColor="background2" w:themeShade="40"/>
                <w:lang w:val="en-US"/>
              </w:rPr>
              <w:t>PhD in Pediatrics</w:t>
            </w:r>
          </w:p>
        </w:tc>
        <w:tc>
          <w:tcPr>
            <w:tcW w:w="1305" w:type="dxa"/>
            <w:tcBorders/>
            <w:shd w:fill="auto" w:val="clear"/>
          </w:tcPr>
          <w:p>
            <w:pPr>
              <w:pStyle w:val="ECVRightHeading"/>
              <w:spacing w:before="62" w:after="0"/>
              <w:rPr>
                <w:i/>
                <w:i/>
                <w:iCs/>
                <w:color w:val="767171" w:themeColor="background2" w:themeShade="80"/>
                <w:lang w:val="en-US"/>
              </w:rPr>
            </w:pPr>
            <w:r>
              <w:rPr>
                <w:i/>
                <w:iCs/>
                <w:color w:val="767171" w:themeColor="background2" w:themeShade="80"/>
                <w:lang w:val="en-US"/>
              </w:rPr>
            </w:r>
          </w:p>
        </w:tc>
      </w:tr>
      <w:tr>
        <w:trPr>
          <w:cantSplit w:val="true"/>
        </w:trPr>
        <w:tc>
          <w:tcPr>
            <w:tcW w:w="2880" w:type="dxa"/>
            <w:vMerge w:val="continue"/>
            <w:tcBorders/>
            <w:shd w:fill="auto" w:val="clear"/>
          </w:tcPr>
          <w:p>
            <w:pPr>
              <w:pStyle w:val="Normal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</w:tc>
        <w:tc>
          <w:tcPr>
            <w:tcW w:w="7496" w:type="dxa"/>
            <w:gridSpan w:val="2"/>
            <w:tcBorders/>
            <w:shd w:fill="auto" w:val="clear"/>
          </w:tcPr>
          <w:p>
            <w:pPr>
              <w:pStyle w:val="ECVOrganisationDetails"/>
              <w:spacing w:lineRule="atLeast" w:line="100" w:before="57" w:after="85"/>
              <w:rPr>
                <w:lang w:val="en-US"/>
              </w:rPr>
            </w:pPr>
            <w:r>
              <w:rPr>
                <w:lang w:val="en-US"/>
              </w:rPr>
              <w:t>University of Naples, Italy</w:t>
            </w:r>
          </w:p>
        </w:tc>
      </w:tr>
      <w:tr>
        <w:trPr>
          <w:cantSplit w:val="true"/>
        </w:trPr>
        <w:tc>
          <w:tcPr>
            <w:tcW w:w="2880" w:type="dxa"/>
            <w:vMerge w:val="continue"/>
            <w:tcBorders/>
            <w:shd w:fill="auto" w:val="clear"/>
          </w:tcPr>
          <w:p>
            <w:pPr>
              <w:pStyle w:val="Normal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</w:tc>
        <w:tc>
          <w:tcPr>
            <w:tcW w:w="7496" w:type="dxa"/>
            <w:gridSpan w:val="2"/>
            <w:tcBorders/>
            <w:shd w:fill="auto" w:val="clear"/>
          </w:tcPr>
          <w:p>
            <w:pPr>
              <w:pStyle w:val="ECVSectionBullet"/>
              <w:rPr>
                <w:sz w:val="22"/>
                <w:szCs w:val="32"/>
                <w:lang w:val="en-US"/>
              </w:rPr>
            </w:pPr>
            <w:r>
              <w:rPr>
                <w:sz w:val="22"/>
                <w:szCs w:val="32"/>
                <w:lang w:val="en-US"/>
              </w:rPr>
              <w:t xml:space="preserve">Post-graduate Residency school in Oncology </w:t>
            </w:r>
          </w:p>
          <w:p>
            <w:pPr>
              <w:pStyle w:val="ECVSectionBullet"/>
              <w:spacing w:lineRule="auto" w:line="360"/>
              <w:rPr>
                <w:lang w:val="en-US"/>
              </w:rPr>
            </w:pPr>
            <w:r>
              <w:rPr>
                <w:lang w:val="en-US"/>
              </w:rPr>
              <w:t>University of Naples, Italy</w:t>
            </w:r>
          </w:p>
          <w:p>
            <w:pPr>
              <w:pStyle w:val="ECVSectionBullet"/>
              <w:rPr>
                <w:sz w:val="22"/>
                <w:szCs w:val="32"/>
                <w:lang w:val="en-US"/>
              </w:rPr>
            </w:pPr>
            <w:r>
              <w:rPr>
                <w:sz w:val="22"/>
                <w:szCs w:val="32"/>
                <w:lang w:val="en-US"/>
              </w:rPr>
              <w:t xml:space="preserve">Post-graduate Residency school in Pediatrics </w:t>
            </w:r>
          </w:p>
          <w:p>
            <w:pPr>
              <w:pStyle w:val="ECVSectionBullet"/>
              <w:spacing w:lineRule="auto" w:line="360"/>
              <w:rPr>
                <w:lang w:val="en-US"/>
              </w:rPr>
            </w:pPr>
            <w:r>
              <w:rPr>
                <w:lang w:val="en-US"/>
              </w:rPr>
              <w:t>University of Naples, Italy</w:t>
            </w:r>
          </w:p>
          <w:p>
            <w:pPr>
              <w:pStyle w:val="ECVSectionBullet"/>
              <w:spacing w:lineRule="auto" w:line="240"/>
              <w:rPr>
                <w:sz w:val="22"/>
                <w:szCs w:val="32"/>
                <w:lang w:val="en-US"/>
              </w:rPr>
            </w:pPr>
            <w:r>
              <w:rPr>
                <w:sz w:val="22"/>
                <w:szCs w:val="32"/>
                <w:lang w:val="en-US"/>
              </w:rPr>
              <w:t xml:space="preserve">Master degree in Medicine </w:t>
            </w:r>
          </w:p>
          <w:p>
            <w:pPr>
              <w:pStyle w:val="ECVSectionBullet"/>
              <w:spacing w:lineRule="auto" w:line="240"/>
              <w:rPr>
                <w:lang w:val="en-US"/>
              </w:rPr>
            </w:pPr>
            <w:r>
              <w:rPr>
                <w:lang w:val="en-US"/>
              </w:rPr>
              <w:t>University of Naples, Italy</w:t>
            </w:r>
          </w:p>
          <w:p>
            <w:pPr>
              <w:pStyle w:val="ECVSectionBullet"/>
              <w:spacing w:lineRule="auto" w:line="360"/>
              <w:rPr>
                <w:lang w:val="en-US"/>
              </w:rPr>
            </w:pPr>
            <w:r>
              <w:rPr>
                <w:lang w:val="en-US"/>
              </w:rPr>
            </w:r>
          </w:p>
        </w:tc>
      </w:tr>
    </w:tbl>
    <w:tbl>
      <w:tblPr>
        <w:tblW w:w="1037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000" w:noVBand="0" w:noHBand="0" w:lastColumn="0" w:firstColumn="0" w:lastRow="0" w:firstRow="0"/>
      </w:tblPr>
      <w:tblGrid>
        <w:gridCol w:w="2835"/>
        <w:gridCol w:w="7539"/>
      </w:tblGrid>
      <w:tr>
        <w:trPr>
          <w:trHeight w:val="170" w:hRule="atLeast"/>
        </w:trPr>
        <w:tc>
          <w:tcPr>
            <w:tcW w:w="2835" w:type="dxa"/>
            <w:tcBorders/>
            <w:shd w:fill="auto" w:val="clear"/>
          </w:tcPr>
          <w:p>
            <w:pPr>
              <w:pStyle w:val="ECVLeftHeading"/>
              <w:rPr>
                <w:b/>
                <w:b/>
                <w:bCs/>
                <w:color w:val="767171" w:themeColor="background2" w:themeShade="80"/>
                <w:highlight w:val="yellow"/>
                <w:lang w:val="en-US"/>
              </w:rPr>
            </w:pPr>
            <w:r>
              <w:rPr>
                <w:b/>
                <w:bCs/>
                <w:caps w:val="false"/>
                <w:smallCaps w:val="false"/>
                <w:color w:val="767171" w:themeColor="background2" w:themeShade="80"/>
                <w:lang w:val="en-US"/>
              </w:rPr>
              <w:t>WORK ACTIVITIES</w:t>
            </w:r>
          </w:p>
        </w:tc>
        <w:tc>
          <w:tcPr>
            <w:tcW w:w="7539" w:type="dxa"/>
            <w:tcBorders/>
            <w:shd w:fill="auto" w:val="clear"/>
            <w:vAlign w:val="bottom"/>
          </w:tcPr>
          <w:p>
            <w:pPr>
              <w:pStyle w:val="ECVBlueBox"/>
              <w:rPr>
                <w:highlight w:val="yellow"/>
                <w:lang w:val="en-US"/>
              </w:rPr>
            </w:pPr>
            <w:r>
              <w:rPr/>
              <w:drawing>
                <wp:inline distT="0" distB="0" distL="0" distR="0">
                  <wp:extent cx="4786630" cy="87630"/>
                  <wp:effectExtent l="0" t="0" r="0" b="0"/>
                  <wp:docPr id="10" name="Immagin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magin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630" cy="8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highlight w:val="yellow"/>
                <w:lang w:val="en-US"/>
              </w:rPr>
              <w:t xml:space="preserve"> </w:t>
            </w:r>
          </w:p>
        </w:tc>
      </w:tr>
    </w:tbl>
    <w:p>
      <w:pPr>
        <w:pStyle w:val="ECVComments"/>
        <w:jc w:val="left"/>
        <w:rPr>
          <w:highlight w:val="yellow"/>
          <w:lang w:val="en-US"/>
        </w:rPr>
      </w:pPr>
      <w:r>
        <w:rPr>
          <w:highlight w:val="yellow"/>
          <w:lang w:val="en-US"/>
        </w:rPr>
      </w:r>
    </w:p>
    <w:tbl>
      <w:tblPr>
        <w:tblpPr w:bottomFromText="170" w:horzAnchor="text" w:leftFromText="0" w:rightFromText="0" w:tblpX="0" w:tblpY="6" w:topFromText="6" w:vertAnchor="text"/>
        <w:tblW w:w="10376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000" w:noVBand="0" w:noHBand="0" w:lastColumn="0" w:firstColumn="0" w:lastRow="0" w:firstRow="0"/>
      </w:tblPr>
      <w:tblGrid>
        <w:gridCol w:w="2833"/>
        <w:gridCol w:w="7542"/>
      </w:tblGrid>
      <w:tr>
        <w:trPr>
          <w:trHeight w:val="340" w:hRule="atLeast"/>
          <w:cantSplit w:val="true"/>
        </w:trPr>
        <w:tc>
          <w:tcPr>
            <w:tcW w:w="2833" w:type="dxa"/>
            <w:tcBorders/>
            <w:shd w:fill="auto" w:val="clear"/>
          </w:tcPr>
          <w:p>
            <w:pPr>
              <w:pStyle w:val="ECVLeftDetails"/>
              <w:spacing w:before="23" w:after="0"/>
              <w:rPr>
                <w:b/>
                <w:b/>
                <w:bCs/>
                <w:caps/>
                <w:lang w:val="en-US"/>
              </w:rPr>
            </w:pPr>
            <w:r>
              <w:rPr>
                <w:b/>
                <w:bCs/>
                <w:color w:val="767171" w:themeColor="background2" w:themeShade="80"/>
                <w:lang w:val="en-US"/>
              </w:rPr>
              <w:t>Editorial activity</w:t>
            </w:r>
          </w:p>
        </w:tc>
        <w:tc>
          <w:tcPr>
            <w:tcW w:w="7542" w:type="dxa"/>
            <w:tcBorders/>
            <w:shd w:fill="auto" w:val="clear"/>
            <w:vAlign w:val="center"/>
          </w:tcPr>
          <w:p>
            <w:pPr>
              <w:pStyle w:val="NormalWeb"/>
              <w:spacing w:before="2" w:after="2"/>
              <w:jc w:val="both"/>
              <w:rPr>
                <w:sz w:val="18"/>
                <w:szCs w:val="18"/>
              </w:rPr>
            </w:pPr>
            <w:r>
              <w:rPr>
                <w:rFonts w:ascii="Arial" w:hAnsi="Arial"/>
                <w:color w:val="404040" w:themeColor="text1" w:themeTint="bf"/>
                <w:sz w:val="18"/>
                <w:szCs w:val="18"/>
                <w:lang w:val="en-US"/>
              </w:rPr>
              <w:t xml:space="preserve">- Associate Editor “American Journal of Hematology”. </w:t>
            </w:r>
            <w:r>
              <w:rPr>
                <w:sz w:val="18"/>
                <w:szCs w:val="18"/>
              </w:rPr>
              <w:t xml:space="preserve"> </w:t>
            </w:r>
          </w:p>
          <w:p>
            <w:pPr>
              <w:pStyle w:val="NormalWeb"/>
              <w:spacing w:before="2" w:after="2"/>
              <w:jc w:val="both"/>
              <w:rPr>
                <w:rFonts w:ascii="Arial" w:hAnsi="Arial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404040" w:themeColor="text1" w:themeTint="bf"/>
                <w:sz w:val="18"/>
                <w:szCs w:val="18"/>
                <w:lang w:val="en-US"/>
              </w:rPr>
              <w:t>- Associate Editor “Scientific Report”.</w:t>
            </w:r>
          </w:p>
          <w:p>
            <w:pPr>
              <w:pStyle w:val="NormalWeb"/>
              <w:spacing w:before="2" w:after="2"/>
              <w:jc w:val="both"/>
              <w:rPr>
                <w:rFonts w:ascii="Arial" w:hAnsi="Arial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404040" w:themeColor="text1" w:themeTint="bf"/>
                <w:sz w:val="18"/>
                <w:szCs w:val="18"/>
                <w:lang w:val="en-US"/>
              </w:rPr>
              <w:t>- Associate Editor “Frontiries in Phisiology”.</w:t>
            </w:r>
          </w:p>
          <w:p>
            <w:pPr>
              <w:pStyle w:val="NormalWeb"/>
              <w:spacing w:before="2" w:after="2"/>
              <w:jc w:val="both"/>
              <w:rPr>
                <w:rFonts w:ascii="Arial" w:hAnsi="Arial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404040" w:themeColor="text1" w:themeTint="bf"/>
                <w:sz w:val="18"/>
                <w:szCs w:val="18"/>
                <w:lang w:val="en-US"/>
              </w:rPr>
              <w:t>-  Associate Editor “Frontiries in Genetics”.</w:t>
            </w:r>
          </w:p>
          <w:p>
            <w:pPr>
              <w:pStyle w:val="NormalWeb"/>
              <w:spacing w:before="2" w:after="2"/>
              <w:jc w:val="both"/>
              <w:rPr>
                <w:rFonts w:ascii="Arial" w:hAnsi="Arial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Arial" w:hAnsi="Arial"/>
                <w:color w:val="404040" w:themeColor="text1" w:themeTint="bf"/>
                <w:sz w:val="18"/>
                <w:szCs w:val="18"/>
                <w:lang w:val="en-US"/>
              </w:rPr>
              <w:t>- Associate Editor “Genes”.</w:t>
            </w:r>
          </w:p>
          <w:p>
            <w:pPr>
              <w:pStyle w:val="NormalWeb"/>
              <w:spacing w:before="2" w:after="2"/>
              <w:jc w:val="both"/>
              <w:rPr>
                <w:rFonts w:ascii="Arial" w:hAnsi="Arial"/>
                <w:color w:val="404040" w:themeColor="text1" w:themeTint="bf"/>
                <w:lang w:val="en-US"/>
              </w:rPr>
            </w:pPr>
            <w:r>
              <w:rPr>
                <w:rFonts w:ascii="Arial" w:hAnsi="Arial"/>
                <w:color w:val="404040" w:themeColor="text1" w:themeTint="bf"/>
                <w:lang w:val="en-US"/>
              </w:rPr>
            </w:r>
          </w:p>
        </w:tc>
      </w:tr>
      <w:tr>
        <w:trPr>
          <w:trHeight w:val="255" w:hRule="atLeast"/>
          <w:cantSplit w:val="true"/>
        </w:trPr>
        <w:tc>
          <w:tcPr>
            <w:tcW w:w="2833" w:type="dxa"/>
            <w:tcBorders/>
            <w:shd w:fill="auto" w:val="clear"/>
          </w:tcPr>
          <w:p>
            <w:pPr>
              <w:pStyle w:val="ECVLeftDetails"/>
              <w:spacing w:before="23" w:after="0"/>
              <w:rPr>
                <w:b/>
                <w:b/>
                <w:bCs/>
                <w:color w:val="767171" w:themeColor="background2" w:themeShade="80"/>
                <w:lang w:val="en-US"/>
              </w:rPr>
            </w:pPr>
            <w:r>
              <w:rPr>
                <w:b/>
                <w:bCs/>
                <w:color w:val="767171" w:themeColor="background2" w:themeShade="80"/>
                <w:lang w:val="en-US"/>
              </w:rPr>
              <w:t>Invited presentations</w:t>
            </w:r>
          </w:p>
        </w:tc>
        <w:tc>
          <w:tcPr>
            <w:tcW w:w="7542" w:type="dxa"/>
            <w:tcBorders/>
            <w:shd w:fill="auto" w:val="clear"/>
          </w:tcPr>
          <w:p>
            <w:pPr>
              <w:pStyle w:val="Normal"/>
              <w:rPr>
                <w:sz w:val="18"/>
                <w:szCs w:val="18"/>
              </w:rPr>
            </w:pPr>
            <w:r>
              <w:rPr>
                <w:rFonts w:cs="Arial"/>
                <w:position w:val="1"/>
              </w:rPr>
              <w:t>-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18"/>
                <w:szCs w:val="18"/>
              </w:rPr>
              <w:t xml:space="preserve">EHA-SWG Scientific Meeting on Red Cell and Iron Metabolism: from basic science to clinical case application. Madrid, Spain; “Clinical cases of CDA”. 2019. </w:t>
            </w:r>
          </w:p>
          <w:p>
            <w:pPr>
              <w:pStyle w:val="ECVSectionDetails"/>
              <w:jc w:val="both"/>
              <w:rPr>
                <w:szCs w:val="18"/>
                <w:lang w:val="en-US"/>
              </w:rPr>
            </w:pPr>
            <w:r>
              <w:rPr>
                <w:rFonts w:cs="Arial"/>
                <w:color w:val="3E3937"/>
                <w:spacing w:val="-5"/>
              </w:rPr>
              <w:t xml:space="preserve">- </w:t>
            </w:r>
            <w:r>
              <w:rPr>
                <w:szCs w:val="18"/>
                <w:lang w:val="en-US"/>
              </w:rPr>
              <w:t>ESH - International Conference on Erythropoiesis Control and Ineffective Erythropoiesis. Hereditary congenital dyserythropoiesis anemias. Budapest 2019.</w:t>
            </w:r>
          </w:p>
          <w:p>
            <w:pPr>
              <w:pStyle w:val="ECVSectionDetails"/>
              <w:jc w:val="both"/>
              <w:rPr>
                <w:rFonts w:cs="Arial"/>
                <w:color w:val="3E3937"/>
                <w:spacing w:val="-5"/>
                <w:szCs w:val="18"/>
              </w:rPr>
            </w:pPr>
            <w:r>
              <w:rPr>
                <w:szCs w:val="18"/>
                <w:lang w:val="en-US"/>
              </w:rPr>
              <w:t xml:space="preserve">- </w:t>
            </w:r>
            <w:r>
              <w:rPr>
                <w:rFonts w:cs="Arial"/>
                <w:color w:val="3E3937"/>
                <w:szCs w:val="18"/>
              </w:rPr>
              <w:t>Conference</w:t>
            </w:r>
            <w:r>
              <w:rPr>
                <w:rFonts w:cs="Arial"/>
                <w:color w:val="3E3937"/>
                <w:spacing w:val="-10"/>
                <w:szCs w:val="18"/>
              </w:rPr>
              <w:t xml:space="preserve"> </w:t>
            </w:r>
            <w:r>
              <w:rPr>
                <w:rFonts w:cs="Arial"/>
                <w:color w:val="3E3937"/>
                <w:szCs w:val="18"/>
              </w:rPr>
              <w:t>"Egyptian</w:t>
            </w:r>
            <w:r>
              <w:rPr>
                <w:rFonts w:cs="Arial"/>
                <w:color w:val="3E3937"/>
                <w:spacing w:val="-10"/>
                <w:szCs w:val="18"/>
              </w:rPr>
              <w:t xml:space="preserve"> </w:t>
            </w:r>
            <w:r>
              <w:rPr>
                <w:rFonts w:cs="Arial"/>
                <w:color w:val="3E3937"/>
                <w:szCs w:val="18"/>
              </w:rPr>
              <w:t>Society</w:t>
            </w:r>
            <w:r>
              <w:rPr>
                <w:rFonts w:cs="Arial"/>
                <w:color w:val="3E3937"/>
                <w:spacing w:val="-12"/>
                <w:szCs w:val="18"/>
              </w:rPr>
              <w:t xml:space="preserve"> </w:t>
            </w:r>
            <w:r>
              <w:rPr>
                <w:rFonts w:cs="Arial"/>
                <w:color w:val="3E3937"/>
                <w:szCs w:val="18"/>
              </w:rPr>
              <w:t>of</w:t>
            </w:r>
            <w:r>
              <w:rPr>
                <w:rFonts w:cs="Arial"/>
                <w:color w:val="3E3937"/>
                <w:spacing w:val="-12"/>
                <w:szCs w:val="18"/>
              </w:rPr>
              <w:t xml:space="preserve"> </w:t>
            </w:r>
            <w:r>
              <w:rPr>
                <w:rFonts w:cs="Arial"/>
                <w:color w:val="3E3937"/>
                <w:szCs w:val="18"/>
              </w:rPr>
              <w:t>Pediatric</w:t>
            </w:r>
            <w:r>
              <w:rPr>
                <w:rFonts w:cs="Arial"/>
                <w:color w:val="3E3937"/>
                <w:spacing w:val="-12"/>
                <w:szCs w:val="18"/>
              </w:rPr>
              <w:t xml:space="preserve"> </w:t>
            </w:r>
            <w:r>
              <w:rPr>
                <w:rFonts w:cs="Arial"/>
                <w:color w:val="3E3937"/>
                <w:szCs w:val="18"/>
              </w:rPr>
              <w:t>Hematology-Oncology</w:t>
            </w:r>
            <w:r>
              <w:rPr>
                <w:rFonts w:cs="Arial"/>
                <w:color w:val="3E3937"/>
                <w:spacing w:val="-13"/>
                <w:szCs w:val="18"/>
              </w:rPr>
              <w:t xml:space="preserve"> </w:t>
            </w:r>
            <w:r>
              <w:rPr>
                <w:rFonts w:cs="Arial"/>
                <w:color w:val="3E3937"/>
                <w:spacing w:val="-5"/>
                <w:szCs w:val="18"/>
              </w:rPr>
              <w:t>ESPHO</w:t>
            </w:r>
            <w:r>
              <w:rPr>
                <w:rFonts w:cs="Arial"/>
                <w:color w:val="3E3937"/>
                <w:spacing w:val="-11"/>
                <w:szCs w:val="18"/>
              </w:rPr>
              <w:t xml:space="preserve"> </w:t>
            </w:r>
            <w:r>
              <w:rPr>
                <w:rFonts w:cs="Arial"/>
                <w:color w:val="3E3937"/>
                <w:spacing w:val="-5"/>
                <w:szCs w:val="18"/>
              </w:rPr>
              <w:t>2018</w:t>
            </w:r>
            <w:r>
              <w:rPr>
                <w:rFonts w:cs="Arial"/>
                <w:color w:val="3E3937"/>
                <w:spacing w:val="-4"/>
                <w:szCs w:val="18"/>
              </w:rPr>
              <w:t xml:space="preserve"> </w:t>
            </w:r>
            <w:r>
              <w:rPr>
                <w:rFonts w:cs="Arial"/>
                <w:color w:val="3E3937"/>
                <w:szCs w:val="18"/>
              </w:rPr>
              <w:t>Egypt.</w:t>
            </w:r>
            <w:r>
              <w:rPr>
                <w:rFonts w:cs="Arial"/>
                <w:color w:val="3E3937"/>
                <w:spacing w:val="-13"/>
                <w:szCs w:val="18"/>
              </w:rPr>
              <w:t xml:space="preserve"> </w:t>
            </w:r>
            <w:r>
              <w:rPr>
                <w:rFonts w:cs="Arial"/>
                <w:color w:val="3E3937"/>
                <w:szCs w:val="18"/>
              </w:rPr>
              <w:t>“Hereditary</w:t>
            </w:r>
            <w:r>
              <w:rPr>
                <w:rFonts w:cs="Arial"/>
                <w:color w:val="3E3937"/>
                <w:spacing w:val="-13"/>
                <w:szCs w:val="18"/>
              </w:rPr>
              <w:t xml:space="preserve"> </w:t>
            </w:r>
            <w:r>
              <w:rPr>
                <w:rFonts w:cs="Arial"/>
                <w:color w:val="3E3937"/>
                <w:szCs w:val="18"/>
              </w:rPr>
              <w:t>red blood cell defects”</w:t>
            </w:r>
            <w:r>
              <w:rPr>
                <w:rFonts w:cs="Arial"/>
                <w:color w:val="3E3937"/>
                <w:spacing w:val="-11"/>
                <w:szCs w:val="18"/>
              </w:rPr>
              <w:t xml:space="preserve"> </w:t>
            </w:r>
            <w:r>
              <w:rPr>
                <w:rFonts w:cs="Arial"/>
                <w:color w:val="3E3937"/>
                <w:spacing w:val="-5"/>
                <w:szCs w:val="18"/>
              </w:rPr>
              <w:t>2018.</w:t>
            </w:r>
          </w:p>
          <w:p>
            <w:pPr>
              <w:pStyle w:val="ECVSectionDetails"/>
              <w:jc w:val="both"/>
              <w:rPr>
                <w:rFonts w:cs="Arial"/>
                <w:color w:val="3E3937"/>
                <w:spacing w:val="-5"/>
              </w:rPr>
            </w:pPr>
            <w:r>
              <w:rPr>
                <w:rFonts w:cs="Arial"/>
                <w:color w:val="3E3937"/>
                <w:spacing w:val="-5"/>
                <w:szCs w:val="18"/>
              </w:rPr>
              <w:t xml:space="preserve">- </w:t>
            </w:r>
            <w:r>
              <w:rPr>
                <w:rFonts w:cs="Arial"/>
                <w:color w:val="3E3937"/>
                <w:spacing w:val="-5"/>
              </w:rPr>
              <w:t>Red Cell Conference, “Hereditary Stomatocytosis”, Yale School of Medicine, CT, USA, 2012.</w:t>
            </w:r>
          </w:p>
          <w:p>
            <w:pPr>
              <w:pStyle w:val="ECVSectionDetails"/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</w:tc>
      </w:tr>
      <w:tr>
        <w:trPr>
          <w:trHeight w:val="340" w:hRule="atLeast"/>
          <w:cantSplit w:val="true"/>
        </w:trPr>
        <w:tc>
          <w:tcPr>
            <w:tcW w:w="2833" w:type="dxa"/>
            <w:tcBorders/>
            <w:shd w:fill="auto" w:val="clear"/>
          </w:tcPr>
          <w:p>
            <w:pPr>
              <w:pStyle w:val="ECVLeftDetails"/>
              <w:spacing w:before="23" w:after="0"/>
              <w:rPr>
                <w:b/>
                <w:b/>
                <w:bCs/>
                <w:caps/>
                <w:highlight w:val="yellow"/>
                <w:lang w:val="en-US"/>
              </w:rPr>
            </w:pPr>
            <w:r>
              <w:rPr>
                <w:b/>
                <w:bCs/>
                <w:color w:val="767171" w:themeColor="background2" w:themeShade="80"/>
                <w:lang w:val="en-US"/>
              </w:rPr>
              <w:t>Grants</w:t>
            </w:r>
          </w:p>
        </w:tc>
        <w:tc>
          <w:tcPr>
            <w:tcW w:w="7542" w:type="dxa"/>
            <w:tcBorders/>
            <w:shd w:fill="auto" w:val="clear"/>
            <w:vAlign w:val="center"/>
          </w:tcPr>
          <w:p>
            <w:pPr>
              <w:pStyle w:val="ECVLanguageHeading"/>
              <w:jc w:val="both"/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</w:pPr>
            <w:r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  <w:t xml:space="preserve">2022-2024. Principal Investigator of the project "Understanding dyserythropoiesis to identify new therapeutic mechanisms in hereditary anemias". PRIN. </w:t>
            </w:r>
          </w:p>
          <w:p>
            <w:pPr>
              <w:pStyle w:val="ECVLanguageHeading"/>
              <w:jc w:val="both"/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</w:pPr>
            <w:r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  <w:t xml:space="preserve">2018-2022. Principal Investigator of the project "Understanding the role of non-coding variants in primary and relapsed neuroblastoma". AIRC. </w:t>
            </w:r>
          </w:p>
          <w:p>
            <w:pPr>
              <w:pStyle w:val="ECVLanguageHeading"/>
              <w:jc w:val="both"/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</w:pPr>
            <w:r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  <w:t xml:space="preserve">2017 - 2020: Co-Principal Investigator of the project "Towards the improvement of diagnosis and treatment in Congenital Dyserythropoyetic Anaemias (CoDysAn project)" - research project for “ayuda a la investigación en ciencias de la vida” Fundacion ramón areces. </w:t>
            </w:r>
          </w:p>
          <w:p>
            <w:pPr>
              <w:pStyle w:val="ECVLanguageHeading"/>
              <w:jc w:val="both"/>
              <w:rPr>
                <w:caps w:val="false"/>
                <w:smallCaps w:val="false"/>
                <w:color w:val="3F3A38"/>
                <w:sz w:val="20"/>
                <w:szCs w:val="20"/>
                <w:highlight w:val="yellow"/>
                <w:lang w:val="en-US"/>
              </w:rPr>
            </w:pPr>
            <w:r>
              <w:rPr>
                <w:caps w:val="false"/>
                <w:smallCaps w:val="false"/>
                <w:color w:val="3F3A38"/>
                <w:sz w:val="20"/>
                <w:szCs w:val="20"/>
                <w:highlight w:val="yellow"/>
                <w:lang w:val="en-US"/>
              </w:rPr>
            </w:r>
          </w:p>
        </w:tc>
      </w:tr>
      <w:tr>
        <w:trPr>
          <w:trHeight w:val="340" w:hRule="atLeast"/>
          <w:cantSplit w:val="true"/>
        </w:trPr>
        <w:tc>
          <w:tcPr>
            <w:tcW w:w="2833" w:type="dxa"/>
            <w:tcBorders/>
            <w:shd w:fill="auto" w:val="clear"/>
          </w:tcPr>
          <w:p>
            <w:pPr>
              <w:pStyle w:val="ECVLeftDetails"/>
              <w:spacing w:before="23" w:after="0"/>
              <w:rPr>
                <w:b/>
                <w:b/>
                <w:bCs/>
                <w:caps/>
                <w:szCs w:val="18"/>
                <w:highlight w:val="yellow"/>
                <w:lang w:val="en-US"/>
              </w:rPr>
            </w:pPr>
            <w:r>
              <w:rPr>
                <w:b/>
                <w:bCs/>
                <w:color w:val="767171" w:themeColor="background2" w:themeShade="80"/>
                <w:szCs w:val="18"/>
                <w:lang w:val="en-US"/>
              </w:rPr>
              <w:t>Other appointments</w:t>
            </w:r>
          </w:p>
        </w:tc>
        <w:tc>
          <w:tcPr>
            <w:tcW w:w="7542" w:type="dxa"/>
            <w:tcBorders/>
            <w:shd w:fill="auto" w:val="clear"/>
            <w:vAlign w:val="center"/>
          </w:tcPr>
          <w:p>
            <w:pPr>
              <w:pStyle w:val="ECVLanguageHeading"/>
              <w:jc w:val="left"/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</w:pPr>
            <w:r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  <w:t>2020-2022 – President of the Italian Society of Human Genetics (SIGU)</w:t>
            </w:r>
          </w:p>
          <w:p>
            <w:pPr>
              <w:pStyle w:val="ECVLanguageHeading"/>
              <w:jc w:val="left"/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</w:pPr>
            <w:r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  <w:t>2014-2021 - Chairman of the scientific working group of the European Hematology Association on Red Cells and Iron</w:t>
            </w:r>
          </w:p>
          <w:p>
            <w:pPr>
              <w:pStyle w:val="ECVLanguageHeading"/>
              <w:jc w:val="left"/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</w:pPr>
            <w:r>
              <w:rPr>
                <w:caps w:val="false"/>
                <w:smallCaps w:val="false"/>
                <w:color w:val="3F3A38"/>
                <w:sz w:val="18"/>
                <w:szCs w:val="18"/>
                <w:lang w:val="en-US"/>
              </w:rPr>
              <w:t>2016- present - Chairman of the EuroBloodNet group on Benign hematology.</w:t>
            </w:r>
          </w:p>
          <w:p>
            <w:pPr>
              <w:pStyle w:val="ECVLanguageHeading"/>
              <w:jc w:val="left"/>
              <w:rPr>
                <w:caps w:val="false"/>
                <w:smallCaps w:val="false"/>
                <w:color w:val="3F3A38"/>
                <w:sz w:val="18"/>
                <w:szCs w:val="18"/>
                <w:highlight w:val="yellow"/>
                <w:lang w:val="en-US"/>
              </w:rPr>
            </w:pPr>
            <w:r>
              <w:rPr>
                <w:caps w:val="false"/>
                <w:smallCaps w:val="false"/>
                <w:color w:val="3F3A38"/>
                <w:sz w:val="18"/>
                <w:szCs w:val="18"/>
                <w:highlight w:val="yellow"/>
                <w:lang w:val="en-US"/>
              </w:rPr>
            </w:r>
          </w:p>
        </w:tc>
      </w:tr>
    </w:tbl>
    <w:tbl>
      <w:tblPr>
        <w:tblW w:w="10375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000" w:noVBand="0" w:noHBand="0" w:lastColumn="0" w:firstColumn="0" w:lastRow="0" w:firstRow="0"/>
      </w:tblPr>
      <w:tblGrid>
        <w:gridCol w:w="2835"/>
        <w:gridCol w:w="7539"/>
      </w:tblGrid>
      <w:tr>
        <w:trPr>
          <w:trHeight w:val="170" w:hRule="atLeast"/>
          <w:cantSplit w:val="true"/>
        </w:trPr>
        <w:tc>
          <w:tcPr>
            <w:tcW w:w="2835" w:type="dxa"/>
            <w:tcBorders/>
            <w:shd w:fill="auto" w:val="clear"/>
          </w:tcPr>
          <w:p>
            <w:pPr>
              <w:pStyle w:val="ECVLeftHeading"/>
              <w:rPr>
                <w:b/>
                <w:b/>
                <w:bCs/>
                <w:color w:val="767171" w:themeColor="background2" w:themeShade="80"/>
                <w:highlight w:val="yellow"/>
                <w:lang w:val="en-US"/>
              </w:rPr>
            </w:pPr>
            <w:r>
              <w:rPr>
                <w:b/>
                <w:bCs/>
                <w:caps w:val="false"/>
                <w:smallCaps w:val="false"/>
                <w:color w:val="767171" w:themeColor="background2" w:themeShade="80"/>
                <w:lang w:val="en-US"/>
              </w:rPr>
              <w:t>ADDITIONAL INFORMATION</w:t>
            </w:r>
          </w:p>
        </w:tc>
        <w:tc>
          <w:tcPr>
            <w:tcW w:w="7539" w:type="dxa"/>
            <w:tcBorders/>
            <w:shd w:fill="auto" w:val="clear"/>
            <w:vAlign w:val="bottom"/>
          </w:tcPr>
          <w:p>
            <w:pPr>
              <w:pStyle w:val="ECVBlueBox"/>
              <w:rPr>
                <w:highlight w:val="yellow"/>
                <w:lang w:val="en-US"/>
              </w:rPr>
            </w:pPr>
            <w:r>
              <w:rPr/>
              <w:drawing>
                <wp:inline distT="0" distB="0" distL="0" distR="0">
                  <wp:extent cx="4786630" cy="87630"/>
                  <wp:effectExtent l="0" t="0" r="0" b="0"/>
                  <wp:docPr id="11" name="Immagin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magin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6630" cy="8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highlight w:val="yellow"/>
                <w:lang w:val="en-US"/>
              </w:rPr>
              <w:t xml:space="preserve"> </w:t>
            </w:r>
          </w:p>
        </w:tc>
      </w:tr>
    </w:tbl>
    <w:p>
      <w:pPr>
        <w:pStyle w:val="ECVText"/>
        <w:rPr>
          <w:highlight w:val="yellow"/>
          <w:lang w:val="en-US"/>
        </w:rPr>
      </w:pPr>
      <w:r>
        <w:rPr>
          <w:highlight w:val="yellow"/>
          <w:lang w:val="en-US"/>
        </w:rPr>
      </w:r>
    </w:p>
    <w:tbl>
      <w:tblPr>
        <w:tblpPr w:bottomFromText="170" w:horzAnchor="text" w:leftFromText="0" w:rightFromText="0" w:tblpX="0" w:tblpY="6" w:topFromText="6" w:vertAnchor="text"/>
        <w:tblW w:w="10376" w:type="dxa"/>
        <w:jc w:val="left"/>
        <w:tblInd w:w="0" w:type="dxa"/>
        <w:tblBorders/>
        <w:tblCellMar>
          <w:top w:w="0" w:type="dxa"/>
          <w:left w:w="0" w:type="dxa"/>
          <w:bottom w:w="0" w:type="dxa"/>
          <w:right w:w="0" w:type="dxa"/>
        </w:tblCellMar>
        <w:tblLook w:val="0000" w:noVBand="0" w:noHBand="0" w:lastColumn="0" w:firstColumn="0" w:lastRow="0" w:firstRow="0"/>
      </w:tblPr>
      <w:tblGrid>
        <w:gridCol w:w="2833"/>
        <w:gridCol w:w="7542"/>
      </w:tblGrid>
      <w:tr>
        <w:trPr>
          <w:trHeight w:val="170" w:hRule="atLeast"/>
          <w:cantSplit w:val="true"/>
        </w:trPr>
        <w:tc>
          <w:tcPr>
            <w:tcW w:w="2833" w:type="dxa"/>
            <w:tcBorders/>
            <w:shd w:fill="auto" w:val="clear"/>
          </w:tcPr>
          <w:p>
            <w:pPr>
              <w:pStyle w:val="ECVLeftDetails"/>
              <w:spacing w:before="23" w:after="0"/>
              <w:rPr>
                <w:b/>
                <w:b/>
                <w:bCs/>
                <w:color w:val="767171" w:themeColor="background2" w:themeShade="80"/>
                <w:lang w:val="en-US"/>
              </w:rPr>
            </w:pPr>
            <w:r>
              <w:rPr>
                <w:b/>
                <w:bCs/>
                <w:color w:val="767171" w:themeColor="background2" w:themeShade="80"/>
                <w:lang w:val="en-US"/>
              </w:rPr>
              <w:t>Publications</w:t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  <w:p>
            <w:pPr>
              <w:pStyle w:val="ECVLeftDetails"/>
              <w:rPr>
                <w:b/>
                <w:b/>
                <w:bCs/>
                <w:color w:val="767171" w:themeColor="background2" w:themeShade="80"/>
                <w:lang w:val="en-US"/>
              </w:rPr>
            </w:pPr>
            <w:r>
              <w:rPr>
                <w:b/>
                <w:bCs/>
                <w:color w:val="767171" w:themeColor="background2" w:themeShade="80"/>
                <w:lang w:val="en-US"/>
              </w:rPr>
              <w:t>Collaborations</w:t>
            </w:r>
          </w:p>
          <w:p>
            <w:pPr>
              <w:pStyle w:val="ECVLeftDetails"/>
              <w:rPr>
                <w:highlight w:val="yellow"/>
                <w:lang w:val="en-US"/>
              </w:rPr>
            </w:pPr>
            <w:r>
              <w:rPr>
                <w:highlight w:val="yellow"/>
                <w:lang w:val="en-US"/>
              </w:rPr>
            </w:r>
          </w:p>
        </w:tc>
        <w:tc>
          <w:tcPr>
            <w:tcW w:w="7542" w:type="dxa"/>
            <w:tcBorders/>
            <w:shd w:fill="auto" w:val="clear"/>
          </w:tcPr>
          <w:p>
            <w:pPr>
              <w:pStyle w:val="Normal"/>
              <w:rPr>
                <w:rFonts w:cs="Arial"/>
                <w:color w:val="1C1C1C"/>
                <w:sz w:val="18"/>
                <w:szCs w:val="18"/>
                <w:lang w:val="en-US"/>
              </w:rPr>
            </w:pPr>
            <w:r>
              <w:rPr>
                <w:rFonts w:cs="Arial"/>
                <w:color w:val="1C1C1C"/>
                <w:sz w:val="18"/>
                <w:szCs w:val="18"/>
                <w:lang w:val="en-US"/>
              </w:rPr>
              <w:t>H-Index: 59, N. publications: 398, Total citations: 3495, N. publications 10 years: 160</w:t>
            </w:r>
          </w:p>
          <w:p>
            <w:pPr>
              <w:pStyle w:val="Normal"/>
              <w:widowControl/>
              <w:suppressAutoHyphens w:val="false"/>
              <w:rPr>
                <w:rFonts w:cs="Arial"/>
                <w:color w:val="1C1C1C"/>
                <w:sz w:val="18"/>
                <w:szCs w:val="18"/>
                <w:lang w:val="en-US"/>
              </w:rPr>
            </w:pPr>
            <w:r>
              <w:rPr>
                <w:rFonts w:cs="Arial"/>
                <w:color w:val="1C1C1C"/>
                <w:sz w:val="18"/>
                <w:szCs w:val="18"/>
                <w:lang w:val="en-US"/>
              </w:rPr>
            </w:r>
          </w:p>
          <w:p>
            <w:pPr>
              <w:pStyle w:val="Normal"/>
              <w:rPr>
                <w:rFonts w:cs="Arial"/>
                <w:color w:val="000000" w:themeColor="text1"/>
                <w:szCs w:val="18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Relevant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 publications</w:t>
            </w:r>
          </w:p>
          <w:p>
            <w:pPr>
              <w:pStyle w:val="Normal"/>
              <w:rPr>
                <w:rFonts w:cs="Arial"/>
                <w:color w:val="000000" w:themeColor="text1"/>
                <w:szCs w:val="18"/>
                <w:highlight w:val="yellow"/>
                <w:lang w:val="en-US"/>
              </w:rPr>
            </w:pP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- Capasso M, ..,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Iolascon A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. Transcription Factors Involved in Tumorigenesis Are Over-Represented in Mutated Active DNA-Binding Sites in Neuroblastoma.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Cancer Res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. 2020 Feb 1;80(3):382-393. </w:t>
            </w:r>
          </w:p>
          <w:p>
            <w:pPr>
              <w:pStyle w:val="Normal"/>
              <w:rPr>
                <w:rFonts w:cs="Arial"/>
                <w:color w:val="000000" w:themeColor="text1"/>
                <w:szCs w:val="18"/>
                <w:lang w:val="en-US"/>
              </w:rPr>
            </w:pP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 xml:space="preserve">- 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Andolfo I, ... Russo R,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Iolascon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 A. Gain-of-function mutations in PIEZO1 directly impair hepatic iron metabolism via the inhibition of the BMP/SMADs pathway.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Am J Hematol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>. 2020;95(2):188-197.</w:t>
            </w:r>
          </w:p>
          <w:p>
            <w:pPr>
              <w:pStyle w:val="Normal"/>
              <w:rPr>
                <w:rFonts w:cs="Arial"/>
                <w:color w:val="000000" w:themeColor="text1"/>
                <w:szCs w:val="18"/>
                <w:lang w:val="en-US"/>
              </w:rPr>
            </w:pP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- Andolfo I, Russo R, ...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Iolascon A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. Genotype-phenotype correlation and risk stratification in a cohort of 123 hereditary stomatocytosis patients.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Am J Hematol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>. 2018;93(12):1509-1517.</w:t>
            </w:r>
          </w:p>
          <w:p>
            <w:pPr>
              <w:pStyle w:val="Normal"/>
              <w:rPr>
                <w:rFonts w:cs="Arial"/>
                <w:color w:val="000000" w:themeColor="text1"/>
                <w:szCs w:val="18"/>
                <w:lang w:val="en-US"/>
              </w:rPr>
            </w:pP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- Russo R, Andolfo I, ..,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Iolascon A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. GATA1 erythroid-specific regulation of SEC23B expression and its implication in the pathogenesis of congenital dyserythropoietic anemia type II.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Haematologica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. 2017 Sep;102(9):e371-e374. </w:t>
            </w:r>
          </w:p>
          <w:p>
            <w:pPr>
              <w:pStyle w:val="Normal"/>
              <w:rPr>
                <w:rFonts w:cs="Arial"/>
                <w:color w:val="000000" w:themeColor="text1"/>
                <w:szCs w:val="18"/>
                <w:lang w:val="en-US"/>
              </w:rPr>
            </w:pP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- Andolfo I, ..,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Iolascon A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. Multiple clinical forms of dehydrated hereditary stomatocytosis arise from mutations in PIEZO1.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Blood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. 2013 May 9;121(19):3925-35, S1-12. </w:t>
            </w:r>
          </w:p>
          <w:p>
            <w:pPr>
              <w:pStyle w:val="Normal"/>
              <w:rPr>
                <w:rFonts w:cs="Arial"/>
                <w:color w:val="000000" w:themeColor="text1"/>
                <w:szCs w:val="18"/>
                <w:lang w:val="en-US"/>
              </w:rPr>
            </w:pP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- Andolfo I, De Falco L, Asci R, Russo R, .. M, Zollo M,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Iolascon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A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. Regulation of divalent metal transporter 1 (DMT1) non-IRE isoform by the microRNA Let-7d in erythroid cells. </w:t>
            </w:r>
            <w:r>
              <w:rPr>
                <w:rFonts w:cs="Arial"/>
                <w:b/>
                <w:bCs/>
                <w:color w:val="000000" w:themeColor="text1"/>
                <w:szCs w:val="18"/>
                <w:lang w:val="en-US"/>
              </w:rPr>
              <w:t>Haematologica</w:t>
            </w:r>
            <w:r>
              <w:rPr>
                <w:rFonts w:cs="Arial"/>
                <w:color w:val="000000" w:themeColor="text1"/>
                <w:szCs w:val="18"/>
                <w:lang w:val="en-US"/>
              </w:rPr>
              <w:t xml:space="preserve">. 2010;95(8):1244-52. </w:t>
            </w:r>
          </w:p>
          <w:p>
            <w:pPr>
              <w:pStyle w:val="Normal"/>
              <w:rPr>
                <w:rFonts w:cs="Arial"/>
                <w:color w:val="000000" w:themeColor="text1"/>
                <w:szCs w:val="18"/>
                <w:lang w:val="en-US"/>
              </w:rPr>
            </w:pPr>
            <w:r>
              <w:rPr>
                <w:rFonts w:cs="Arial"/>
                <w:color w:val="000000" w:themeColor="text1"/>
                <w:szCs w:val="18"/>
                <w:lang w:val="en-US"/>
              </w:rPr>
            </w:r>
          </w:p>
          <w:p>
            <w:pPr>
              <w:pStyle w:val="Normal"/>
              <w:rPr>
                <w:rFonts w:cs="Arial"/>
                <w:color w:val="000000" w:themeColor="text1"/>
                <w:szCs w:val="18"/>
                <w:lang w:val="en-US"/>
              </w:rPr>
            </w:pPr>
            <w:r>
              <w:rPr>
                <w:rFonts w:cs="Arial"/>
                <w:color w:val="000000" w:themeColor="text1"/>
                <w:szCs w:val="18"/>
                <w:lang w:val="en-US"/>
              </w:rPr>
              <w:t>Ardem Patapoutian Nobel prize for Medicine or Physiology 2021; Scripps Research La Jolla, CA, USA/Carlo Brugnara and Seth L. Alper Harvard Medical School Boston, MA, USA/Maria Domenica Cappellini IRCCS Ca' Granda, Milano/ Lucia De Franceschi Uni. di Verona/Stefano Rivella Children’s Hospital of Philadelphia/University of Pennsylvania, Philadelphia, PA, USA.</w:t>
            </w:r>
          </w:p>
        </w:tc>
      </w:tr>
    </w:tbl>
    <w:p>
      <w:pPr>
        <w:pStyle w:val="ECVText"/>
        <w:rPr/>
      </w:pPr>
      <w:r>
        <w:rPr/>
      </w:r>
    </w:p>
    <w:sectPr>
      <w:headerReference w:type="even" r:id="rId13"/>
      <w:headerReference w:type="default" r:id="rId14"/>
      <w:footerReference w:type="even" r:id="rId15"/>
      <w:footerReference w:type="default" r:id="rId16"/>
      <w:type w:val="nextPage"/>
      <w:pgSz w:w="11906" w:h="16838"/>
      <w:pgMar w:left="850" w:right="680" w:header="850" w:top="1644" w:footer="624" w:bottom="147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alibri Light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Times">
    <w:altName w:val="Times New Roman"/>
    <w:charset w:val="01"/>
    <w:family w:val="roman"/>
    <w:pitch w:val="variable"/>
  </w:font>
  <w:font w:name="MS Gothic">
    <w:charset w:val="01"/>
    <w:family w:val="roman"/>
    <w:pitch w:val="variable"/>
  </w:font>
  <w:font w:name="ArialMT">
    <w:charset w:val="01"/>
    <w:family w:val="roman"/>
    <w:pitch w:val="variable"/>
  </w:font>
  <w:font w:name="Segoe UI">
    <w:charset w:val="01"/>
    <w:family w:val="auto"/>
    <w:pitch w:val="default"/>
  </w:font>
  <w:font w:name="Symbol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tabs>
        <w:tab w:val="clear" w:pos="10205"/>
        <w:tab w:val="left" w:pos="2835" w:leader="none"/>
        <w:tab w:val="right" w:pos="10375" w:leader="none"/>
      </w:tabs>
      <w:rPr/>
    </w:pPr>
    <w:r>
      <w:rPr>
        <w:rFonts w:eastAsia="ArialMT" w:cs="ArialMT" w:ascii="ArialMT" w:hAnsi="ArialMT"/>
        <w:color w:val="767171" w:themeColor="background2" w:themeShade="80"/>
        <w:sz w:val="14"/>
        <w:szCs w:val="14"/>
        <w:lang w:val="en-US"/>
      </w:rPr>
      <w:t>According to law 679/2016 of the Regulation of the European Parliament of 27th April 2016, I hereby express my consent to process and use my data provided in this CV</w:t>
    </w:r>
    <w:r>
      <w:rPr>
        <w:rFonts w:eastAsia="ArialMT" w:cs="ArialMT" w:ascii="ArialMT" w:hAnsi="ArialMT"/>
        <w:sz w:val="14"/>
        <w:szCs w:val="14"/>
        <w:lang w:val="fr-BE"/>
      </w:rPr>
      <w:tab/>
    </w:r>
    <w:r>
      <w:rPr>
        <w:rFonts w:eastAsia="ArialMT" w:cs="ArialMT" w:ascii="ArialMT" w:hAnsi="ArialMT"/>
        <w:color w:val="767171" w:themeColor="background2" w:themeShade="80"/>
        <w:sz w:val="14"/>
        <w:szCs w:val="14"/>
        <w:lang w:val="fr-BE"/>
      </w:rPr>
      <w:t xml:space="preserve">Page </w:t>
    </w:r>
    <w:r>
      <w:rPr>
        <w:rFonts w:eastAsia="ArialMT" w:cs="ArialMT"/>
        <w:color w:val="767171" w:themeColor="background2" w:themeShade="80"/>
        <w:sz w:val="14"/>
        <w:szCs w:val="14"/>
      </w:rPr>
      <w:fldChar w:fldCharType="begin"/>
    </w:r>
    <w:r>
      <w:rPr>
        <w:sz w:val="14"/>
        <w:szCs w:val="14"/>
        <w:rFonts w:eastAsia="ArialMT" w:cs="ArialMT"/>
      </w:rPr>
      <w:instrText> PAGE </w:instrText>
    </w:r>
    <w:r>
      <w:rPr>
        <w:sz w:val="14"/>
        <w:szCs w:val="14"/>
        <w:rFonts w:eastAsia="ArialMT" w:cs="ArialMT"/>
      </w:rPr>
      <w:fldChar w:fldCharType="separate"/>
    </w:r>
    <w:r>
      <w:rPr>
        <w:sz w:val="14"/>
        <w:szCs w:val="14"/>
        <w:rFonts w:eastAsia="ArialMT" w:cs="ArialMT"/>
      </w:rPr>
      <w:t>2</w:t>
    </w:r>
    <w:r>
      <w:rPr>
        <w:sz w:val="14"/>
        <w:szCs w:val="14"/>
        <w:rFonts w:eastAsia="ArialMT" w:cs="ArialMT"/>
      </w:rPr>
      <w:fldChar w:fldCharType="end"/>
    </w:r>
    <w:r>
      <w:rPr>
        <w:rFonts w:eastAsia="ArialMT" w:cs="ArialMT" w:ascii="ArialMT" w:hAnsi="ArialMT"/>
        <w:color w:val="767171" w:themeColor="background2" w:themeShade="80"/>
        <w:sz w:val="14"/>
        <w:szCs w:val="14"/>
        <w:lang w:val="fr-BE"/>
      </w:rPr>
      <w:t xml:space="preserve"> / </w:t>
    </w:r>
    <w:r>
      <w:rPr>
        <w:rFonts w:eastAsia="ArialMT" w:cs="ArialMT"/>
        <w:color w:val="767171" w:themeColor="background2" w:themeShade="80"/>
        <w:sz w:val="14"/>
        <w:szCs w:val="14"/>
      </w:rPr>
      <w:fldChar w:fldCharType="begin"/>
    </w:r>
    <w:r>
      <w:rPr>
        <w:sz w:val="14"/>
        <w:szCs w:val="14"/>
        <w:rFonts w:eastAsia="ArialMT" w:cs="ArialMT"/>
      </w:rPr>
      <w:instrText> NUMPAGES </w:instrText>
    </w:r>
    <w:r>
      <w:rPr>
        <w:sz w:val="14"/>
        <w:szCs w:val="14"/>
        <w:rFonts w:eastAsia="ArialMT" w:cs="ArialMT"/>
      </w:rPr>
      <w:fldChar w:fldCharType="separate"/>
    </w:r>
    <w:r>
      <w:rPr>
        <w:sz w:val="14"/>
        <w:szCs w:val="14"/>
        <w:rFonts w:eastAsia="ArialMT" w:cs="ArialMT"/>
      </w:rPr>
      <w:t>2</w:t>
    </w:r>
    <w:r>
      <w:rPr>
        <w:sz w:val="14"/>
        <w:szCs w:val="14"/>
        <w:rFonts w:eastAsia="ArialMT" w:cs="ArialMT"/>
      </w:rPr>
      <w:fldChar w:fldCharType="end"/>
    </w:r>
    <w:r>
      <w:rPr>
        <w:rFonts w:eastAsia="ArialMT" w:cs="ArialMT" w:ascii="ArialMT" w:hAnsi="ArialMT"/>
        <w:color w:val="767171" w:themeColor="background2" w:themeShade="80"/>
        <w:sz w:val="14"/>
        <w:szCs w:val="14"/>
        <w:lang w:val="fr-BE"/>
      </w:rPr>
      <w:t xml:space="preserve"> 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dipagina"/>
      <w:tabs>
        <w:tab w:val="clear" w:pos="10205"/>
        <w:tab w:val="left" w:pos="2835" w:leader="none"/>
        <w:tab w:val="right" w:pos="10375" w:leader="none"/>
      </w:tabs>
      <w:rPr/>
    </w:pPr>
    <w:r>
      <w:rPr>
        <w:rFonts w:eastAsia="ArialMT" w:cs="ArialMT" w:ascii="ArialMT" w:hAnsi="ArialMT"/>
        <w:color w:val="767171"/>
        <w:sz w:val="14"/>
        <w:szCs w:val="14"/>
        <w:lang w:val="en-US"/>
      </w:rPr>
      <w:t>According to law 679/2016 of the Regulation of the European Parliament of 27th April 2016, I hereby express my consent to process and use my data provided in this CV</w:t>
    </w:r>
    <w:r>
      <w:rPr>
        <w:rFonts w:eastAsia="ArialMT" w:cs="ArialMT" w:ascii="ArialMT" w:hAnsi="ArialMT"/>
        <w:sz w:val="14"/>
        <w:szCs w:val="14"/>
        <w:lang w:val="fr-BE"/>
      </w:rPr>
      <w:tab/>
    </w:r>
    <w:r>
      <w:rPr>
        <w:rFonts w:eastAsia="ArialMT" w:cs="ArialMT" w:ascii="ArialMT" w:hAnsi="ArialMT"/>
        <w:color w:val="767171" w:themeColor="background2" w:themeShade="80"/>
        <w:sz w:val="14"/>
        <w:szCs w:val="14"/>
        <w:lang w:val="fr-BE"/>
      </w:rPr>
      <w:t xml:space="preserve">Page </w:t>
    </w:r>
    <w:r>
      <w:rPr>
        <w:rFonts w:eastAsia="ArialMT" w:cs="ArialMT"/>
        <w:color w:val="767171" w:themeColor="background2" w:themeShade="80"/>
        <w:sz w:val="14"/>
        <w:szCs w:val="14"/>
      </w:rPr>
      <w:fldChar w:fldCharType="begin"/>
    </w:r>
    <w:r>
      <w:rPr>
        <w:sz w:val="14"/>
        <w:szCs w:val="14"/>
        <w:rFonts w:eastAsia="ArialMT" w:cs="ArialMT"/>
      </w:rPr>
      <w:instrText> PAGE </w:instrText>
    </w:r>
    <w:r>
      <w:rPr>
        <w:sz w:val="14"/>
        <w:szCs w:val="14"/>
        <w:rFonts w:eastAsia="ArialMT" w:cs="ArialMT"/>
      </w:rPr>
      <w:fldChar w:fldCharType="separate"/>
    </w:r>
    <w:r>
      <w:rPr>
        <w:sz w:val="14"/>
        <w:szCs w:val="14"/>
        <w:rFonts w:eastAsia="ArialMT" w:cs="ArialMT"/>
      </w:rPr>
      <w:t>1</w:t>
    </w:r>
    <w:r>
      <w:rPr>
        <w:sz w:val="14"/>
        <w:szCs w:val="14"/>
        <w:rFonts w:eastAsia="ArialMT" w:cs="ArialMT"/>
      </w:rPr>
      <w:fldChar w:fldCharType="end"/>
    </w:r>
    <w:r>
      <w:rPr>
        <w:rFonts w:eastAsia="ArialMT" w:cs="ArialMT" w:ascii="ArialMT" w:hAnsi="ArialMT"/>
        <w:color w:val="767171" w:themeColor="background2" w:themeShade="80"/>
        <w:sz w:val="14"/>
        <w:szCs w:val="14"/>
        <w:lang w:val="fr-BE"/>
      </w:rPr>
      <w:t xml:space="preserve"> / </w:t>
    </w:r>
    <w:r>
      <w:rPr>
        <w:rFonts w:eastAsia="ArialMT" w:cs="ArialMT"/>
        <w:color w:val="767171" w:themeColor="background2" w:themeShade="80"/>
        <w:sz w:val="14"/>
        <w:szCs w:val="14"/>
      </w:rPr>
      <w:fldChar w:fldCharType="begin"/>
    </w:r>
    <w:r>
      <w:rPr>
        <w:sz w:val="14"/>
        <w:szCs w:val="14"/>
        <w:rFonts w:eastAsia="ArialMT" w:cs="ArialMT"/>
      </w:rPr>
      <w:instrText> NUMPAGES </w:instrText>
    </w:r>
    <w:r>
      <w:rPr>
        <w:sz w:val="14"/>
        <w:szCs w:val="14"/>
        <w:rFonts w:eastAsia="ArialMT" w:cs="ArialMT"/>
      </w:rPr>
      <w:fldChar w:fldCharType="separate"/>
    </w:r>
    <w:r>
      <w:rPr>
        <w:sz w:val="14"/>
        <w:szCs w:val="14"/>
        <w:rFonts w:eastAsia="ArialMT" w:cs="ArialMT"/>
      </w:rPr>
      <w:t>2</w:t>
    </w:r>
    <w:r>
      <w:rPr>
        <w:sz w:val="14"/>
        <w:szCs w:val="14"/>
        <w:rFonts w:eastAsia="ArialMT" w:cs="ArialMT"/>
      </w:rPr>
      <w:fldChar w:fldCharType="end"/>
    </w:r>
    <w:r>
      <w:rPr>
        <w:rFonts w:eastAsia="ArialMT" w:cs="ArialMT" w:ascii="ArialMT" w:hAnsi="ArialMT"/>
        <w:color w:val="767171" w:themeColor="background2" w:themeShade="80"/>
        <w:sz w:val="14"/>
        <w:szCs w:val="14"/>
        <w:lang w:val="fr-BE"/>
      </w:rPr>
      <w:t xml:space="preserve">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CVCurriculumVitaeNextPages"/>
      <w:tabs>
        <w:tab w:val="left" w:pos="2835" w:leader="none"/>
        <w:tab w:val="right" w:pos="10350" w:leader="none"/>
      </w:tabs>
      <w:spacing w:before="153" w:after="0"/>
      <w:jc w:val="right"/>
      <w:rPr>
        <w:color w:val="767171" w:themeColor="background2" w:themeShade="80"/>
      </w:rPr>
    </w:pPr>
    <w:r>
      <w:rPr/>
      <w:t xml:space="preserve"> </w:t>
    </w:r>
    <w:r>
      <w:rPr/>
      <w:tab/>
    </w:r>
    <w:r>
      <w:rPr>
        <w:szCs w:val="20"/>
      </w:rPr>
      <w:tab/>
      <w:t xml:space="preserve"> </w:t>
    </w:r>
    <w:r>
      <w:rPr>
        <w:color w:val="767171" w:themeColor="background2" w:themeShade="80"/>
        <w:szCs w:val="20"/>
      </w:rPr>
      <w:t>Immacolata Andolfo</w:t>
    </w:r>
    <w:r>
      <w:rPr>
        <w:color w:val="767171" w:themeColor="background2" w:themeShade="80"/>
      </w:rPr>
      <w:t xml:space="preserve"> 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CVCurriculumVitaeNextPages"/>
      <w:tabs>
        <w:tab w:val="left" w:pos="2835" w:leader="none"/>
        <w:tab w:val="right" w:pos="10350" w:leader="none"/>
      </w:tabs>
      <w:spacing w:before="153" w:after="0"/>
      <w:jc w:val="right"/>
      <w:rPr/>
    </w:pPr>
    <w:r>
      <w:rPr/>
      <w:t xml:space="preserve"> </w:t>
    </w:r>
    <w:r>
      <w:rPr/>
      <w:tab/>
    </w:r>
    <w:r>
      <w:rPr>
        <w:szCs w:val="20"/>
      </w:rPr>
      <w:tab/>
      <w:t xml:space="preserve"> 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itolo2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▪"/>
      <w:lvlJc w:val="left"/>
      <w:pPr>
        <w:ind w:left="113" w:hanging="113"/>
      </w:pPr>
      <w:rPr>
        <w:rFonts w:ascii="Segoe UI" w:hAnsi="Segoe UI" w:cs="Segoe UI" w:hint="default"/>
        <w:rFonts w:cs="OpenSymbol"/>
      </w:rPr>
    </w:lvl>
    <w:lvl w:ilvl="1">
      <w:start w:val="1"/>
      <w:numFmt w:val="bullet"/>
      <w:lvlText w:val="▫"/>
      <w:lvlJc w:val="left"/>
      <w:pPr>
        <w:ind w:left="227" w:hanging="114"/>
      </w:pPr>
      <w:rPr>
        <w:rFonts w:ascii="Segoe UI" w:hAnsi="Segoe UI" w:cs="Segoe UI" w:hint="default"/>
        <w:rFonts w:cs="OpenSymbol"/>
      </w:rPr>
    </w:lvl>
    <w:lvl w:ilvl="2">
      <w:start w:val="1"/>
      <w:numFmt w:val="bullet"/>
      <w:lvlText w:val=""/>
      <w:lvlJc w:val="left"/>
      <w:pPr>
        <w:ind w:left="113" w:hanging="-34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113" w:hanging="-567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113" w:hanging="-794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113" w:hanging="-1021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113" w:hanging="-1247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113" w:hanging="-1474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113" w:hanging="-1701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90"/>
  <w:displayBackgroundShape/>
  <w:embedSystemFonts/>
  <w:defaultTabStop w:val="709"/>
  <w:autoHyphenation w:val="false"/>
  <w:evenAndOddHeaders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jc w:val="left"/>
    </w:pPr>
    <w:rPr>
      <w:rFonts w:ascii="Arial" w:hAnsi="Arial" w:eastAsia="SimSun" w:cs="Mangal"/>
      <w:color w:val="3F3A38"/>
      <w:spacing w:val="-6"/>
      <w:kern w:val="2"/>
      <w:sz w:val="16"/>
      <w:szCs w:val="24"/>
      <w:lang w:val="en-GB" w:eastAsia="hi-IN" w:bidi="hi-IN"/>
    </w:rPr>
  </w:style>
  <w:style w:type="paragraph" w:styleId="Titolo1">
    <w:name w:val="Heading 1"/>
    <w:basedOn w:val="Titolo"/>
    <w:next w:val="Corpodeltesto"/>
    <w:qFormat/>
    <w:pPr>
      <w:outlineLvl w:val="0"/>
    </w:pPr>
    <w:rPr>
      <w:b/>
      <w:bCs/>
      <w:sz w:val="32"/>
      <w:szCs w:val="32"/>
    </w:rPr>
  </w:style>
  <w:style w:type="paragraph" w:styleId="Titolo2">
    <w:name w:val="Heading 2"/>
    <w:basedOn w:val="Titolo"/>
    <w:next w:val="Corpodeltesto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Titolo3">
    <w:name w:val="Heading 3"/>
    <w:basedOn w:val="Normal"/>
    <w:next w:val="Normal"/>
    <w:link w:val="Titolo3Carattere"/>
    <w:uiPriority w:val="9"/>
    <w:unhideWhenUsed/>
    <w:qFormat/>
    <w:rsid w:val="00937fce"/>
    <w:pPr>
      <w:keepNext w:val="true"/>
      <w:keepLines/>
      <w:spacing w:before="40" w:after="0"/>
      <w:outlineLvl w:val="2"/>
    </w:pPr>
    <w:rPr>
      <w:rFonts w:ascii="Calibri Light" w:hAnsi="Calibri Light" w:eastAsia="" w:asciiTheme="majorHAnsi" w:eastAsiaTheme="majorEastAsia" w:hAnsiTheme="majorHAnsi"/>
      <w:color w:val="1F3763" w:themeColor="accent1" w:themeShade="7f"/>
      <w:sz w:val="24"/>
      <w:szCs w:val="21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ECVHeadingContactDetails" w:customStyle="1">
    <w:name w:val="_ECV_HeadingContactDetails"/>
    <w:qFormat/>
    <w:rPr>
      <w:rFonts w:ascii="Arial" w:hAnsi="Arial"/>
      <w:color w:val="1593CB"/>
      <w:sz w:val="18"/>
      <w:szCs w:val="18"/>
    </w:rPr>
  </w:style>
  <w:style w:type="character" w:styleId="ECVContactDetails" w:customStyle="1">
    <w:name w:val="_ECV_ContactDetails"/>
    <w:qFormat/>
    <w:rPr>
      <w:rFonts w:ascii="Arial" w:hAnsi="Arial"/>
      <w:color w:val="3F3A38"/>
      <w:sz w:val="18"/>
      <w:szCs w:val="18"/>
    </w:rPr>
  </w:style>
  <w:style w:type="character" w:styleId="Caratteridinumerazione" w:customStyle="1">
    <w:name w:val="Caratteri di numerazione"/>
    <w:qFormat/>
    <w:rPr/>
  </w:style>
  <w:style w:type="character" w:styleId="Bullets" w:customStyle="1">
    <w:name w:val="Bullets"/>
    <w:qFormat/>
    <w:rPr>
      <w:rFonts w:ascii="OpenSymbol" w:hAnsi="OpenSymbol" w:eastAsia="OpenSymbol" w:cs="OpenSymbol"/>
    </w:rPr>
  </w:style>
  <w:style w:type="character" w:styleId="Linenumber">
    <w:name w:val="line number"/>
    <w:qFormat/>
    <w:rPr/>
  </w:style>
  <w:style w:type="character" w:styleId="CollegamentoInternet">
    <w:name w:val="Collegamento Internet"/>
    <w:rPr>
      <w:color w:val="000080"/>
      <w:u w:val="single"/>
    </w:rPr>
  </w:style>
  <w:style w:type="character" w:styleId="ECVInternetLink" w:customStyle="1">
    <w:name w:val="_ECV_InternetLink"/>
    <w:qFormat/>
    <w:rPr>
      <w:rFonts w:ascii="Arial" w:hAnsi="Arial"/>
      <w:color w:val="3F3A38"/>
      <w:sz w:val="18"/>
      <w:lang w:val="en-GB"/>
    </w:rPr>
  </w:style>
  <w:style w:type="character" w:styleId="ECVHeadingBusinessSector" w:customStyle="1">
    <w:name w:val="_ECV_HeadingBusinessSector"/>
    <w:qFormat/>
    <w:rPr>
      <w:rFonts w:ascii="Arial" w:hAnsi="Arial"/>
      <w:color w:val="1593CB"/>
      <w:spacing w:val="-6"/>
      <w:sz w:val="18"/>
      <w:szCs w:val="18"/>
    </w:rPr>
  </w:style>
  <w:style w:type="character" w:styleId="FollowedHyperlink">
    <w:name w:val="FollowedHyperlink"/>
    <w:qFormat/>
    <w:rPr>
      <w:color w:val="80000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c20db7"/>
    <w:rPr>
      <w:color w:val="605E5C"/>
      <w:shd w:fill="E1DFDD" w:val="clear"/>
    </w:rPr>
  </w:style>
  <w:style w:type="character" w:styleId="Docsumauthors" w:customStyle="1">
    <w:name w:val="docsum-authors"/>
    <w:basedOn w:val="DefaultParagraphFont"/>
    <w:qFormat/>
    <w:rsid w:val="00ae6e03"/>
    <w:rPr/>
  </w:style>
  <w:style w:type="character" w:styleId="Appleconvertedspace" w:customStyle="1">
    <w:name w:val="apple-converted-space"/>
    <w:basedOn w:val="DefaultParagraphFont"/>
    <w:qFormat/>
    <w:rsid w:val="00ae6e03"/>
    <w:rPr/>
  </w:style>
  <w:style w:type="character" w:styleId="Docsumjournalcitation" w:customStyle="1">
    <w:name w:val="docsum-journal-citation"/>
    <w:basedOn w:val="DefaultParagraphFont"/>
    <w:qFormat/>
    <w:rsid w:val="00ae6e03"/>
    <w:rPr/>
  </w:style>
  <w:style w:type="character" w:styleId="Enfasi">
    <w:name w:val="Enfasi"/>
    <w:basedOn w:val="DefaultParagraphFont"/>
    <w:uiPriority w:val="20"/>
    <w:qFormat/>
    <w:rsid w:val="00415a29"/>
    <w:rPr>
      <w:i/>
      <w:iCs/>
    </w:rPr>
  </w:style>
  <w:style w:type="character" w:styleId="Titolo3Carattere" w:customStyle="1">
    <w:name w:val="Titolo 3 Carattere"/>
    <w:basedOn w:val="DefaultParagraphFont"/>
    <w:link w:val="Titolo3"/>
    <w:uiPriority w:val="9"/>
    <w:qFormat/>
    <w:rsid w:val="00937fce"/>
    <w:rPr>
      <w:rFonts w:ascii="Calibri Light" w:hAnsi="Calibri Light" w:eastAsia="" w:cs="Mangal" w:asciiTheme="majorHAnsi" w:eastAsiaTheme="majorEastAsia" w:hAnsiTheme="majorHAnsi"/>
      <w:color w:val="1F3763" w:themeColor="accent1" w:themeShade="7f"/>
      <w:spacing w:val="-6"/>
      <w:kern w:val="2"/>
      <w:sz w:val="24"/>
      <w:szCs w:val="21"/>
      <w:lang w:val="en-GB" w:eastAsia="hi-IN" w:bidi="hi-IN"/>
    </w:rPr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sz w:val="20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sz w:val="20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sz w:val="20"/>
    </w:rPr>
  </w:style>
  <w:style w:type="character" w:styleId="ListLabel29">
    <w:name w:val="ListLabel 29"/>
    <w:qFormat/>
    <w:rPr>
      <w:sz w:val="20"/>
    </w:rPr>
  </w:style>
  <w:style w:type="paragraph" w:styleId="Titolo" w:customStyle="1">
    <w:name w:val="Titolo"/>
    <w:basedOn w:val="Normal"/>
    <w:next w:val="Corpodeltesto"/>
    <w:qFormat/>
    <w:pPr>
      <w:keepNext w:val="true"/>
      <w:spacing w:before="240" w:after="120"/>
    </w:pPr>
    <w:rPr>
      <w:rFonts w:eastAsia="Microsoft YaHei"/>
      <w:sz w:val="28"/>
      <w:szCs w:val="28"/>
    </w:rPr>
  </w:style>
  <w:style w:type="paragraph" w:styleId="Corpodeltesto">
    <w:name w:val="Body Text"/>
    <w:basedOn w:val="Normal"/>
    <w:pPr>
      <w:spacing w:lineRule="atLeast" w:line="100"/>
    </w:pPr>
    <w:rPr/>
  </w:style>
  <w:style w:type="paragraph" w:styleId="Elenco">
    <w:name w:val="List"/>
    <w:basedOn w:val="Corpodeltesto"/>
    <w:pPr/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ice" w:customStyle="1">
    <w:name w:val="Indice"/>
    <w:basedOn w:val="Normal"/>
    <w:qFormat/>
    <w:pPr>
      <w:suppressLineNumbers/>
    </w:pPr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styleId="Contenutotabella" w:customStyle="1">
    <w:name w:val="Contenuto tabella"/>
    <w:basedOn w:val="Normal"/>
    <w:qFormat/>
    <w:pPr>
      <w:suppressLineNumbers/>
    </w:pPr>
    <w:rPr/>
  </w:style>
  <w:style w:type="paragraph" w:styleId="Titolotabella" w:customStyle="1">
    <w:name w:val="Titolo tabella"/>
    <w:basedOn w:val="Contenutotabella"/>
    <w:qFormat/>
    <w:pPr>
      <w:jc w:val="center"/>
    </w:pPr>
    <w:rPr>
      <w:b/>
      <w:bCs/>
    </w:rPr>
  </w:style>
  <w:style w:type="paragraph" w:styleId="ECVLeftHeading" w:customStyle="1">
    <w:name w:val="_ECV_LeftHeading"/>
    <w:basedOn w:val="Contenutotabella"/>
    <w:qFormat/>
    <w:pPr>
      <w:ind w:right="283" w:hanging="0"/>
      <w:jc w:val="right"/>
    </w:pPr>
    <w:rPr>
      <w:caps/>
      <w:color w:val="0E4194"/>
      <w:sz w:val="18"/>
    </w:rPr>
  </w:style>
  <w:style w:type="paragraph" w:styleId="ECVMiddleColumn" w:customStyle="1">
    <w:name w:val="_ECV_MiddleColumn"/>
    <w:basedOn w:val="Contenutotabella"/>
    <w:qFormat/>
    <w:pPr/>
    <w:rPr>
      <w:color w:val="404040"/>
      <w:sz w:val="20"/>
    </w:rPr>
  </w:style>
  <w:style w:type="paragraph" w:styleId="ECVRightColumn" w:customStyle="1">
    <w:name w:val="_ECV_RightColumn"/>
    <w:basedOn w:val="Contenutotabella"/>
    <w:qFormat/>
    <w:pPr>
      <w:spacing w:before="62" w:after="0"/>
    </w:pPr>
    <w:rPr>
      <w:color w:val="404040"/>
    </w:rPr>
  </w:style>
  <w:style w:type="paragraph" w:styleId="ECVNameField" w:customStyle="1">
    <w:name w:val="_ECV_NameField"/>
    <w:basedOn w:val="ECVRightColumn"/>
    <w:qFormat/>
    <w:pPr>
      <w:spacing w:lineRule="atLeast" w:line="100" w:before="0" w:after="0"/>
    </w:pPr>
    <w:rPr>
      <w:color w:val="3F3A38"/>
      <w:sz w:val="26"/>
      <w:szCs w:val="18"/>
    </w:rPr>
  </w:style>
  <w:style w:type="paragraph" w:styleId="ECVRightHeading" w:customStyle="1">
    <w:name w:val="_ECV_RightHeading"/>
    <w:basedOn w:val="ECVNameField"/>
    <w:qFormat/>
    <w:pPr>
      <w:spacing w:before="62" w:after="0"/>
      <w:jc w:val="right"/>
    </w:pPr>
    <w:rPr>
      <w:color w:val="1593CB"/>
      <w:sz w:val="15"/>
    </w:rPr>
  </w:style>
  <w:style w:type="paragraph" w:styleId="ECV1stPage" w:customStyle="1">
    <w:name w:val="_ECV_1stPage"/>
    <w:basedOn w:val="ECVRightHeading"/>
    <w:qFormat/>
    <w:pPr>
      <w:tabs>
        <w:tab w:val="clear" w:pos="709"/>
        <w:tab w:val="left" w:pos="2835" w:leader="none"/>
        <w:tab w:val="right" w:pos="10205" w:leader="none"/>
      </w:tabs>
      <w:spacing w:before="215" w:after="0"/>
      <w:jc w:val="left"/>
    </w:pPr>
    <w:rPr>
      <w:sz w:val="20"/>
    </w:rPr>
  </w:style>
  <w:style w:type="paragraph" w:styleId="ECVContactDetails1" w:customStyle="1">
    <w:name w:val="_ECV_ContactDetails"/>
    <w:basedOn w:val="ECVNameField"/>
    <w:qFormat/>
    <w:pPr>
      <w:textAlignment w:val="center"/>
    </w:pPr>
    <w:rPr>
      <w:kern w:val="0"/>
      <w:sz w:val="18"/>
    </w:rPr>
  </w:style>
  <w:style w:type="paragraph" w:styleId="ECVComments" w:customStyle="1">
    <w:name w:val="_ECV_Comments"/>
    <w:basedOn w:val="ECVText"/>
    <w:qFormat/>
    <w:pPr>
      <w:jc w:val="center"/>
    </w:pPr>
    <w:rPr>
      <w:color w:val="FF0000"/>
    </w:rPr>
  </w:style>
  <w:style w:type="paragraph" w:styleId="ECVNarrowSpacing" w:customStyle="1">
    <w:name w:val="_ECV_NarrowSpacing"/>
    <w:basedOn w:val="ECVRightColumn"/>
    <w:qFormat/>
    <w:pPr/>
    <w:rPr>
      <w:color w:val="402C24"/>
      <w:sz w:val="8"/>
      <w:szCs w:val="10"/>
    </w:rPr>
  </w:style>
  <w:style w:type="paragraph" w:styleId="ECVSectionSpacing" w:customStyle="1">
    <w:name w:val="_ECV_SectionSpacing"/>
    <w:basedOn w:val="ECVRightColumn"/>
    <w:qFormat/>
    <w:pPr/>
    <w:rPr/>
  </w:style>
  <w:style w:type="paragraph" w:styleId="Tabella" w:customStyle="1">
    <w:name w:val="Tabella"/>
    <w:basedOn w:val="Caption"/>
    <w:qFormat/>
    <w:pPr/>
    <w:rPr/>
  </w:style>
  <w:style w:type="paragraph" w:styleId="ECVSubSectionHeading" w:customStyle="1">
    <w:name w:val="_ECV_SubSectionHeading"/>
    <w:basedOn w:val="ECVRightColumn"/>
    <w:qFormat/>
    <w:pPr>
      <w:spacing w:lineRule="atLeast" w:line="100" w:before="0" w:after="0"/>
    </w:pPr>
    <w:rPr>
      <w:color w:val="0E4194"/>
      <w:sz w:val="22"/>
    </w:rPr>
  </w:style>
  <w:style w:type="paragraph" w:styleId="ECVOrganisationDetails" w:customStyle="1">
    <w:name w:val="_ECV_OrganisationDetails"/>
    <w:basedOn w:val="ECVRightColumn"/>
    <w:qFormat/>
    <w:pPr>
      <w:spacing w:lineRule="atLeast" w:line="100" w:before="57" w:after="85"/>
    </w:pPr>
    <w:rPr>
      <w:rFonts w:eastAsia="ArialMT" w:cs="ArialMT"/>
      <w:color w:val="3F3A38"/>
      <w:sz w:val="18"/>
      <w:szCs w:val="18"/>
    </w:rPr>
  </w:style>
  <w:style w:type="paragraph" w:styleId="ECVSectionDetails" w:customStyle="1">
    <w:name w:val="_ECV_SectionDetails"/>
    <w:basedOn w:val="Normal"/>
    <w:qFormat/>
    <w:pPr>
      <w:suppressLineNumbers/>
      <w:spacing w:lineRule="atLeast" w:line="100" w:before="28" w:after="0"/>
    </w:pPr>
    <w:rPr>
      <w:sz w:val="18"/>
    </w:rPr>
  </w:style>
  <w:style w:type="paragraph" w:styleId="ECVSectionBullet" w:customStyle="1">
    <w:name w:val="_ECV_SectionBullet"/>
    <w:basedOn w:val="ECVSectionDetails"/>
    <w:qFormat/>
    <w:pPr>
      <w:spacing w:before="0" w:after="0"/>
    </w:pPr>
    <w:rPr/>
  </w:style>
  <w:style w:type="paragraph" w:styleId="ECVHeadingBullet" w:customStyle="1">
    <w:name w:val="_ECV_HeadingBullet"/>
    <w:basedOn w:val="ECVLeftHeading"/>
    <w:qFormat/>
    <w:pPr>
      <w:spacing w:lineRule="atLeast" w:line="100"/>
      <w:outlineLvl w:val="0"/>
    </w:pPr>
    <w:rPr/>
  </w:style>
  <w:style w:type="paragraph" w:styleId="ECVSubHeadingBullet" w:customStyle="1">
    <w:name w:val="_ECV_SubHeadingBullet"/>
    <w:basedOn w:val="ECVLeftDetails"/>
    <w:qFormat/>
    <w:pPr>
      <w:spacing w:lineRule="atLeast" w:line="100" w:before="0" w:after="0"/>
    </w:pPr>
    <w:rPr/>
  </w:style>
  <w:style w:type="paragraph" w:styleId="CVMajor" w:customStyle="1">
    <w:name w:val="CV Major"/>
    <w:basedOn w:val="Normal"/>
    <w:qFormat/>
    <w:pPr>
      <w:ind w:left="113" w:right="113" w:hanging="0"/>
    </w:pPr>
    <w:rPr>
      <w:b/>
      <w:sz w:val="24"/>
    </w:rPr>
  </w:style>
  <w:style w:type="paragraph" w:styleId="ECVDate" w:customStyle="1">
    <w:name w:val="_ECV_Date"/>
    <w:basedOn w:val="ECVLeftHeading"/>
    <w:qFormat/>
    <w:pPr>
      <w:spacing w:lineRule="atLeast" w:line="100" w:before="28" w:after="0"/>
      <w:textAlignment w:val="top"/>
    </w:pPr>
    <w:rPr>
      <w:caps w:val="false"/>
      <w:smallCaps w:val="false"/>
    </w:rPr>
  </w:style>
  <w:style w:type="paragraph" w:styleId="CVHeading3" w:customStyle="1">
    <w:name w:val="CV Heading 3"/>
    <w:basedOn w:val="Normal"/>
    <w:next w:val="Normal"/>
    <w:qFormat/>
    <w:pPr>
      <w:ind w:left="113" w:right="113" w:hanging="0"/>
      <w:jc w:val="right"/>
      <w:textAlignment w:val="center"/>
    </w:pPr>
    <w:rPr/>
  </w:style>
  <w:style w:type="paragraph" w:styleId="ECVHeadingLine" w:customStyle="1">
    <w:name w:val="_ECV_HeadingLine"/>
    <w:basedOn w:val="ECVSubSectionHeading"/>
    <w:qFormat/>
    <w:pPr/>
    <w:rPr>
      <w:color w:val="17ACE6"/>
    </w:rPr>
  </w:style>
  <w:style w:type="paragraph" w:styleId="Intestazione">
    <w:name w:val="Header"/>
    <w:basedOn w:val="Normal"/>
    <w:pPr>
      <w:suppressLineNumbers/>
      <w:tabs>
        <w:tab w:val="clear" w:pos="709"/>
        <w:tab w:val="center" w:pos="5103" w:leader="none"/>
        <w:tab w:val="right" w:pos="10206" w:leader="none"/>
      </w:tabs>
    </w:pPr>
    <w:rPr/>
  </w:style>
  <w:style w:type="paragraph" w:styleId="ECVAttachment" w:customStyle="1">
    <w:name w:val="_ECV_Attachment"/>
    <w:basedOn w:val="ECVSectionDetails"/>
    <w:qFormat/>
    <w:pPr>
      <w:jc w:val="right"/>
    </w:pPr>
    <w:rPr>
      <w:u w:val="single"/>
    </w:rPr>
  </w:style>
  <w:style w:type="paragraph" w:styleId="ECVHeaderFirstPage" w:customStyle="1">
    <w:name w:val="_ECV_HeaderFirstPage"/>
    <w:basedOn w:val="Intestazione"/>
    <w:qFormat/>
    <w:pPr>
      <w:tabs>
        <w:tab w:val="center" w:pos="2835" w:leader="none"/>
        <w:tab w:val="center" w:pos="5103" w:leader="none"/>
        <w:tab w:val="right" w:pos="10206" w:leader="none"/>
      </w:tabs>
      <w:spacing w:lineRule="atLeast" w:line="100"/>
    </w:pPr>
    <w:rPr>
      <w:color w:val="17ACE6"/>
      <w:sz w:val="20"/>
    </w:rPr>
  </w:style>
  <w:style w:type="paragraph" w:styleId="ECVHeaderOtherPage" w:customStyle="1">
    <w:name w:val="_ECV_HeaderOtherPage"/>
    <w:basedOn w:val="ECVHeaderFirstPage"/>
    <w:qFormat/>
    <w:pPr/>
    <w:rPr/>
  </w:style>
  <w:style w:type="paragraph" w:styleId="ECVLeftDetails" w:customStyle="1">
    <w:name w:val="_ECV_LeftDetails"/>
    <w:basedOn w:val="ECVLeftHeading"/>
    <w:qFormat/>
    <w:pPr>
      <w:spacing w:before="23" w:after="0"/>
    </w:pPr>
    <w:rPr>
      <w:caps w:val="false"/>
      <w:smallCaps w:val="false"/>
    </w:rPr>
  </w:style>
  <w:style w:type="paragraph" w:styleId="Pidipagina">
    <w:name w:val="Footer"/>
    <w:basedOn w:val="Normal"/>
    <w:pPr>
      <w:suppressLineNumbers/>
      <w:tabs>
        <w:tab w:val="clear" w:pos="709"/>
        <w:tab w:val="right" w:pos="2835" w:leader="none"/>
        <w:tab w:val="left" w:pos="10205" w:leader="none"/>
      </w:tabs>
    </w:pPr>
    <w:rPr>
      <w:color w:val="1593CB"/>
    </w:rPr>
  </w:style>
  <w:style w:type="paragraph" w:styleId="ECVLanguageHeading" w:customStyle="1">
    <w:name w:val="_ECV_LanguageHeading"/>
    <w:basedOn w:val="ECVRightColumn"/>
    <w:qFormat/>
    <w:pPr>
      <w:spacing w:before="0" w:after="0"/>
      <w:jc w:val="center"/>
    </w:pPr>
    <w:rPr>
      <w:caps/>
      <w:color w:val="0E4194"/>
      <w:sz w:val="14"/>
    </w:rPr>
  </w:style>
  <w:style w:type="paragraph" w:styleId="ECVLanguageSubHeading" w:customStyle="1">
    <w:name w:val="_ECV_LanguageSubHeading"/>
    <w:basedOn w:val="ECVLanguageHeading"/>
    <w:qFormat/>
    <w:pPr>
      <w:spacing w:lineRule="atLeast" w:line="100"/>
    </w:pPr>
    <w:rPr>
      <w:caps w:val="false"/>
      <w:smallCaps w:val="false"/>
      <w:sz w:val="16"/>
    </w:rPr>
  </w:style>
  <w:style w:type="paragraph" w:styleId="ECVLanguageLevel" w:customStyle="1">
    <w:name w:val="_ECV_LanguageLevel"/>
    <w:basedOn w:val="ECVSectionDetails"/>
    <w:qFormat/>
    <w:pPr>
      <w:jc w:val="center"/>
      <w:textAlignment w:val="center"/>
    </w:pPr>
    <w:rPr>
      <w:caps/>
    </w:rPr>
  </w:style>
  <w:style w:type="paragraph" w:styleId="ECVLanguageCertificate" w:customStyle="1">
    <w:name w:val="_ECV_LanguageCertificate"/>
    <w:basedOn w:val="ECVRightColumn"/>
    <w:qFormat/>
    <w:pPr>
      <w:spacing w:lineRule="atLeast" w:line="100" w:before="0" w:after="0"/>
      <w:ind w:right="283" w:hanging="0"/>
      <w:jc w:val="center"/>
    </w:pPr>
    <w:rPr>
      <w:color w:val="3F3A38"/>
    </w:rPr>
  </w:style>
  <w:style w:type="paragraph" w:styleId="ECVLanguageExplanation" w:customStyle="1">
    <w:name w:val="_ECV_LanguageExplanation"/>
    <w:basedOn w:val="Normal"/>
    <w:qFormat/>
    <w:pPr>
      <w:spacing w:lineRule="atLeast" w:line="100"/>
    </w:pPr>
    <w:rPr>
      <w:color w:val="0E4194"/>
      <w:sz w:val="15"/>
    </w:rPr>
  </w:style>
  <w:style w:type="paragraph" w:styleId="ECVLinks" w:customStyle="1">
    <w:name w:val="_ECV_Links"/>
    <w:basedOn w:val="ECVContactDetails1"/>
    <w:qFormat/>
    <w:pPr/>
    <w:rPr>
      <w:u w:val="single"/>
    </w:rPr>
  </w:style>
  <w:style w:type="paragraph" w:styleId="ECVText" w:customStyle="1">
    <w:name w:val="_ECV_Text"/>
    <w:basedOn w:val="Corpodeltesto"/>
    <w:qFormat/>
    <w:pPr/>
    <w:rPr/>
  </w:style>
  <w:style w:type="paragraph" w:styleId="ECVBusinessSector" w:customStyle="1">
    <w:name w:val="_ECV_BusinessSector"/>
    <w:basedOn w:val="ECVOrganisationDetails"/>
    <w:qFormat/>
    <w:pPr>
      <w:spacing w:before="113" w:after="0"/>
    </w:pPr>
    <w:rPr/>
  </w:style>
  <w:style w:type="paragraph" w:styleId="ECVLanguageName" w:customStyle="1">
    <w:name w:val="_ECV_LanguageName"/>
    <w:basedOn w:val="ECVLanguageCertificate"/>
    <w:qFormat/>
    <w:pPr>
      <w:jc w:val="right"/>
    </w:pPr>
    <w:rPr>
      <w:sz w:val="18"/>
    </w:rPr>
  </w:style>
  <w:style w:type="paragraph" w:styleId="ECVPersonalInfoHeading" w:customStyle="1">
    <w:name w:val="_ECV_PersonalInfoHeading"/>
    <w:basedOn w:val="ECVLeftHeading"/>
    <w:qFormat/>
    <w:pPr>
      <w:spacing w:before="57" w:after="0"/>
    </w:pPr>
    <w:rPr/>
  </w:style>
  <w:style w:type="paragraph" w:styleId="ECVOccupationalFieldHeading" w:customStyle="1">
    <w:name w:val="_ECV_OccupationalFieldHeading"/>
    <w:basedOn w:val="ECVLeftHeading"/>
    <w:qFormat/>
    <w:pPr>
      <w:spacing w:before="57" w:after="0"/>
    </w:pPr>
    <w:rPr/>
  </w:style>
  <w:style w:type="paragraph" w:styleId="ECVGenderRow" w:customStyle="1">
    <w:name w:val="_ECV_GenderRow"/>
    <w:basedOn w:val="Normal"/>
    <w:qFormat/>
    <w:pPr>
      <w:spacing w:before="85" w:after="0"/>
    </w:pPr>
    <w:rPr>
      <w:color w:val="1593CB"/>
    </w:rPr>
  </w:style>
  <w:style w:type="paragraph" w:styleId="ECVCurriculumVitaeNextPages" w:customStyle="1">
    <w:name w:val="_ECV_CurriculumVitae_NextPages"/>
    <w:basedOn w:val="ECV1stPage"/>
    <w:qFormat/>
    <w:pPr>
      <w:tabs>
        <w:tab w:val="clear" w:pos="10205"/>
        <w:tab w:val="left" w:pos="2835" w:leader="none"/>
        <w:tab w:val="right" w:pos="10350" w:leader="none"/>
      </w:tabs>
      <w:spacing w:before="153" w:after="0"/>
      <w:jc w:val="right"/>
    </w:pPr>
    <w:rPr/>
  </w:style>
  <w:style w:type="paragraph" w:styleId="ECVBusinessSctionRow" w:customStyle="1">
    <w:name w:val="_ECV_BusinessSctionRow"/>
    <w:basedOn w:val="Normal"/>
    <w:qFormat/>
    <w:pPr/>
    <w:rPr/>
  </w:style>
  <w:style w:type="paragraph" w:styleId="ECVBusinessSectorRow" w:customStyle="1">
    <w:name w:val="_ECV_BusinessSectorRow"/>
    <w:basedOn w:val="Normal"/>
    <w:qFormat/>
    <w:pPr/>
    <w:rPr/>
  </w:style>
  <w:style w:type="paragraph" w:styleId="ECVBlueBox" w:customStyle="1">
    <w:name w:val="_ECV_BlueBox"/>
    <w:basedOn w:val="ECVNarrowSpacing"/>
    <w:qFormat/>
    <w:pPr>
      <w:spacing w:before="0" w:after="0"/>
      <w:jc w:val="right"/>
      <w:textAlignment w:val="bottom"/>
    </w:pPr>
    <w:rPr>
      <w:spacing w:val="0"/>
    </w:rPr>
  </w:style>
  <w:style w:type="paragraph" w:styleId="ESP1stPage" w:customStyle="1">
    <w:name w:val="_ESP_1stPage"/>
    <w:basedOn w:val="ECVCurriculumVitaeNextPages"/>
    <w:qFormat/>
    <w:pPr/>
    <w:rPr/>
  </w:style>
  <w:style w:type="paragraph" w:styleId="ESPText" w:customStyle="1">
    <w:name w:val="_ESP_Text"/>
    <w:basedOn w:val="ECVText"/>
    <w:qFormat/>
    <w:pPr/>
    <w:rPr/>
  </w:style>
  <w:style w:type="paragraph" w:styleId="ESPHeading" w:customStyle="1">
    <w:name w:val="_ESP_Heading"/>
    <w:basedOn w:val="ESPText"/>
    <w:qFormat/>
    <w:pPr/>
    <w:rPr>
      <w:b/>
      <w:bCs/>
      <w:sz w:val="32"/>
      <w:szCs w:val="32"/>
    </w:rPr>
  </w:style>
  <w:style w:type="paragraph" w:styleId="Pidipaginaasinistra" w:customStyle="1">
    <w:name w:val="Piè di pagina a sinistra"/>
    <w:basedOn w:val="Normal"/>
    <w:qFormat/>
    <w:pPr>
      <w:suppressLineNumbers/>
      <w:tabs>
        <w:tab w:val="clear" w:pos="709"/>
        <w:tab w:val="center" w:pos="5188" w:leader="none"/>
        <w:tab w:val="right" w:pos="10376" w:leader="none"/>
      </w:tabs>
    </w:pPr>
    <w:rPr/>
  </w:style>
  <w:style w:type="paragraph" w:styleId="Pidipaginaadestra" w:customStyle="1">
    <w:name w:val="Piè di pagina a destra"/>
    <w:basedOn w:val="Normal"/>
    <w:qFormat/>
    <w:pPr>
      <w:suppressLineNumbers/>
      <w:tabs>
        <w:tab w:val="clear" w:pos="709"/>
        <w:tab w:val="center" w:pos="5188" w:leader="none"/>
        <w:tab w:val="right" w:pos="10376" w:leader="none"/>
      </w:tabs>
    </w:pPr>
    <w:rPr/>
  </w:style>
  <w:style w:type="paragraph" w:styleId="ECVRelatedDocumentRow" w:customStyle="1">
    <w:name w:val="_ECV_RelatedDocumentRow"/>
    <w:basedOn w:val="ECVBusinessSectorRow"/>
    <w:qFormat/>
    <w:pPr/>
    <w:rPr/>
  </w:style>
  <w:style w:type="paragraph" w:styleId="EuropassSectionDetails" w:customStyle="1">
    <w:name w:val="Europass_SectionDetails"/>
    <w:basedOn w:val="Normal"/>
    <w:qFormat/>
    <w:pPr>
      <w:suppressLineNumbers/>
      <w:spacing w:lineRule="atLeast" w:line="100" w:before="28" w:after="56"/>
    </w:pPr>
    <w:rPr>
      <w:sz w:val="18"/>
    </w:rPr>
  </w:style>
  <w:style w:type="paragraph" w:styleId="NormalWeb">
    <w:name w:val="Normal (Web)"/>
    <w:basedOn w:val="Normal"/>
    <w:uiPriority w:val="99"/>
    <w:qFormat/>
    <w:rsid w:val="00876e01"/>
    <w:pPr>
      <w:widowControl/>
      <w:suppressAutoHyphens w:val="false"/>
    </w:pPr>
    <w:rPr>
      <w:rFonts w:ascii="Times" w:hAnsi="Times" w:eastAsia="Times New Roman" w:cs="Times New Roman"/>
      <w:color w:val="auto"/>
      <w:spacing w:val="0"/>
      <w:kern w:val="0"/>
      <w:sz w:val="20"/>
      <w:szCs w:val="20"/>
      <w:lang w:val="it-IT" w:eastAsia="it-IT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rsid w:val="00e146d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numbering" Target="numbering.xml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<Relationship Id="rId22" Type="http://schemas.openxmlformats.org/officeDocument/2006/relationships/customXml" Target="../customXml/item2.xml"/><Relationship Id="rId23" Type="http://schemas.openxmlformats.org/officeDocument/2006/relationships/customXml" Target="../customXml/item3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F71E54A381AB4782E09184DDFF68BA" ma:contentTypeVersion="9" ma:contentTypeDescription="Create a new document." ma:contentTypeScope="" ma:versionID="ac2ee52b59c1576937a6575bc5ddaa89">
  <xsd:schema xmlns:xsd="http://www.w3.org/2001/XMLSchema" xmlns:xs="http://www.w3.org/2001/XMLSchema" xmlns:p="http://schemas.microsoft.com/office/2006/metadata/properties" xmlns:ns2="6dc87bd0-df47-4b85-836d-fa60d6a76eaa" xmlns:ns3="e8524c2f-6f24-4ac5-beff-180072b76bc1" targetNamespace="http://schemas.microsoft.com/office/2006/metadata/properties" ma:root="true" ma:fieldsID="040c1ead22deb0e866685a414f2974ce" ns2:_="" ns3:_="">
    <xsd:import namespace="6dc87bd0-df47-4b85-836d-fa60d6a76eaa"/>
    <xsd:import namespace="e8524c2f-6f24-4ac5-beff-180072b76b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87bd0-df47-4b85-836d-fa60d6a76e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24c2f-6f24-4ac5-beff-180072b76bc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8524c2f-6f24-4ac5-beff-180072b76bc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4D139D9-BCA0-480B-BF3B-8184F6650F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87bd0-df47-4b85-836d-fa60d6a76eaa"/>
    <ds:schemaRef ds:uri="e8524c2f-6f24-4ac5-beff-180072b76b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242758-BE1A-43A3-9575-1F51C20DE3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33A6AA-7A44-483C-9452-5EBFF14BD8CA}">
  <ds:schemaRefs>
    <ds:schemaRef ds:uri="http://schemas.microsoft.com/office/2006/metadata/properties"/>
    <ds:schemaRef ds:uri="http://schemas.microsoft.com/office/infopath/2007/PartnerControls"/>
    <ds:schemaRef ds:uri="e8524c2f-6f24-4ac5-beff-180072b76b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Application>LibreOffice/6.1.4.2$MacOSX_X86_64 LibreOffice_project/9d0f32d1f0b509096fd65e0d4bec26ddd1938fd3</Application>
  <Pages>2</Pages>
  <Words>870</Words>
  <Characters>5447</Characters>
  <CharactersWithSpaces>6295</CharactersWithSpaces>
  <Paragraphs>100</Paragraphs>
  <Company>kkostas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2022-01-26T15:25:00Z</dcterms:created>
  <dc:creator>Samuela Berardis</dc:creator>
  <dc:description>Europass CV</dc:description>
  <cp:keywords>Europass CV Cedefop</cp:keywords>
  <dc:language>it-IT</dc:language>
  <cp:lastModifiedBy>immacolata andolfo</cp:lastModifiedBy>
  <cp:lastPrinted>1899-12-31T23:00:00Z</cp:lastPrinted>
  <dcterms:modified xsi:type="dcterms:W3CDTF">2022-01-26T16:34:00Z</dcterms:modified>
  <cp:revision>11</cp:revision>
  <dc:subject>Europass CV</dc:subject>
  <dc:title>Europass CV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kkostas</vt:lpwstr>
  </property>
  <property fmtid="{D5CDD505-2E9C-101B-9397-08002B2CF9AE}" pid="4" name="ComplianceAssetId">
    <vt:lpwstr/>
  </property>
  <property fmtid="{D5CDD505-2E9C-101B-9397-08002B2CF9AE}" pid="5" name="ContentTypeId">
    <vt:lpwstr>0x0101009CF71E54A381AB4782E09184DDFF68BA</vt:lpwstr>
  </property>
  <property fmtid="{D5CDD505-2E9C-101B-9397-08002B2CF9AE}" pid="6" name="DocSecurity">
    <vt:i4>0</vt:i4>
  </property>
  <property fmtid="{D5CDD505-2E9C-101B-9397-08002B2CF9AE}" pid="7" name="Editor">
    <vt:lpwstr>Cedefop Europass Team</vt:lpwstr>
  </property>
  <property fmtid="{D5CDD505-2E9C-101B-9397-08002B2CF9AE}" pid="8" name="HyperlinksChanged">
    <vt:bool>0</vt:bool>
  </property>
  <property fmtid="{D5CDD505-2E9C-101B-9397-08002B2CF9AE}" pid="9" name="LinksUpToDate">
    <vt:bool>0</vt:bool>
  </property>
  <property fmtid="{D5CDD505-2E9C-101B-9397-08002B2CF9AE}" pid="10" name="Owner">
    <vt:lpwstr>Cedefop Europass Team</vt:lpwstr>
  </property>
  <property fmtid="{D5CDD505-2E9C-101B-9397-08002B2CF9AE}" pid="11" name="ScaleCrop">
    <vt:bool>0</vt:bool>
  </property>
  <property fmtid="{D5CDD505-2E9C-101B-9397-08002B2CF9AE}" pid="12" name="ShareDoc">
    <vt:bool>0</vt:bool>
  </property>
  <property fmtid="{D5CDD505-2E9C-101B-9397-08002B2CF9AE}" pid="13" name="TriggerFlowInfo">
    <vt:lpwstr/>
  </property>
  <property fmtid="{D5CDD505-2E9C-101B-9397-08002B2CF9AE}" pid="14" name="_ExtendedDescription">
    <vt:lpwstr/>
  </property>
</Properties>
</file>